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lsx" ContentType="application/vnd.openxmlformats-officedocument.spreadsheetml.sheet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21F7C5B" w14:textId="77777777" w:rsidR="00D66EC3" w:rsidRPr="00E32A1C" w:rsidRDefault="00D66EC3" w:rsidP="00D66EC3">
      <w:pPr>
        <w:pStyle w:val="Bezodstpw"/>
        <w:jc w:val="right"/>
        <w:rPr>
          <w:sz w:val="20"/>
        </w:rPr>
      </w:pPr>
      <w:bookmarkStart w:id="0" w:name="_GoBack"/>
      <w:bookmarkEnd w:id="0"/>
      <w:r w:rsidRPr="00E32A1C">
        <w:rPr>
          <w:sz w:val="20"/>
        </w:rPr>
        <w:t xml:space="preserve">Załącznik nr </w:t>
      </w:r>
      <w:r w:rsidR="006463D9">
        <w:rPr>
          <w:sz w:val="20"/>
        </w:rPr>
        <w:t>2</w:t>
      </w:r>
    </w:p>
    <w:p w14:paraId="2CF28022" w14:textId="77777777" w:rsidR="00D66EC3" w:rsidRDefault="00D66EC3" w:rsidP="00D66EC3">
      <w:pPr>
        <w:pStyle w:val="Bezodstpw"/>
        <w:jc w:val="right"/>
        <w:rPr>
          <w:sz w:val="20"/>
        </w:rPr>
      </w:pPr>
      <w:r w:rsidRPr="00E32A1C">
        <w:rPr>
          <w:sz w:val="20"/>
        </w:rPr>
        <w:t xml:space="preserve">do Uchwały Nr </w:t>
      </w:r>
      <w:r w:rsidR="006463D9">
        <w:rPr>
          <w:sz w:val="20"/>
        </w:rPr>
        <w:t>…………..</w:t>
      </w:r>
    </w:p>
    <w:p w14:paraId="6E2A605B" w14:textId="77777777" w:rsidR="00D66EC3" w:rsidRPr="00E32A1C" w:rsidRDefault="00D66EC3" w:rsidP="00D66EC3">
      <w:pPr>
        <w:pStyle w:val="Bezodstpw"/>
        <w:jc w:val="right"/>
        <w:rPr>
          <w:sz w:val="20"/>
        </w:rPr>
      </w:pPr>
      <w:r>
        <w:rPr>
          <w:sz w:val="20"/>
        </w:rPr>
        <w:t xml:space="preserve">Rady Gminy w Biesiekierzu z dnia </w:t>
      </w:r>
      <w:r w:rsidR="006463D9">
        <w:rPr>
          <w:sz w:val="20"/>
        </w:rPr>
        <w:t>…………..</w:t>
      </w:r>
    </w:p>
    <w:p w14:paraId="6ABF7240" w14:textId="77777777" w:rsidR="004310C3" w:rsidRDefault="00ED28BE" w:rsidP="004310C3">
      <w:pPr>
        <w:pStyle w:val="Nagwek1"/>
        <w:numPr>
          <w:ilvl w:val="0"/>
          <w:numId w:val="0"/>
        </w:numPr>
        <w:ind w:left="432"/>
        <w:rPr>
          <w:rFonts w:asciiTheme="minorHAnsi" w:hAnsiTheme="minorHAnsi" w:cstheme="minorHAnsi"/>
          <w:color w:val="auto"/>
          <w:sz w:val="24"/>
          <w:szCs w:val="24"/>
        </w:rPr>
      </w:pPr>
      <w:r>
        <w:rPr>
          <w:rFonts w:ascii="Times New Roman" w:hAnsi="Times New Roman" w:cs="Times New Roman"/>
          <w:noProof/>
          <w:sz w:val="56"/>
        </w:rPr>
        <w:drawing>
          <wp:anchor distT="0" distB="0" distL="114300" distR="114300" simplePos="0" relativeHeight="251661312" behindDoc="0" locked="0" layoutInCell="1" allowOverlap="1" wp14:anchorId="4C2D4F34" wp14:editId="01446140">
            <wp:simplePos x="0" y="0"/>
            <wp:positionH relativeFrom="column">
              <wp:posOffset>1911350</wp:posOffset>
            </wp:positionH>
            <wp:positionV relativeFrom="paragraph">
              <wp:posOffset>355022</wp:posOffset>
            </wp:positionV>
            <wp:extent cx="1938583" cy="2160000"/>
            <wp:effectExtent l="0" t="0" r="0" b="0"/>
            <wp:wrapNone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erb_100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8583" cy="216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b w:val="0"/>
          <w:bCs w:val="0"/>
          <w:noProof/>
          <w:sz w:val="32"/>
          <w:szCs w:val="32"/>
        </w:rPr>
        <w:drawing>
          <wp:anchor distT="0" distB="0" distL="114300" distR="114300" simplePos="0" relativeHeight="251659264" behindDoc="1" locked="0" layoutInCell="1" allowOverlap="1" wp14:anchorId="3753822F" wp14:editId="19B605D1">
            <wp:simplePos x="0" y="0"/>
            <wp:positionH relativeFrom="column">
              <wp:posOffset>-33020</wp:posOffset>
            </wp:positionH>
            <wp:positionV relativeFrom="paragraph">
              <wp:posOffset>149860</wp:posOffset>
            </wp:positionV>
            <wp:extent cx="5760720" cy="8004175"/>
            <wp:effectExtent l="0" t="0" r="0" b="0"/>
            <wp:wrapNone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ZNAK WODNY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004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8EF05E" w14:textId="77777777" w:rsidR="00F60F07" w:rsidRDefault="00F60F07" w:rsidP="00F60F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2"/>
          <w:szCs w:val="52"/>
        </w:rPr>
      </w:pPr>
    </w:p>
    <w:p w14:paraId="7FA82E4C" w14:textId="77777777" w:rsidR="00F60F07" w:rsidRDefault="00F60F07" w:rsidP="00F60F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2"/>
          <w:szCs w:val="52"/>
        </w:rPr>
      </w:pPr>
    </w:p>
    <w:p w14:paraId="720505E1" w14:textId="77777777" w:rsidR="00F60F07" w:rsidRDefault="00F60F07" w:rsidP="00F60F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2"/>
          <w:szCs w:val="52"/>
        </w:rPr>
      </w:pPr>
    </w:p>
    <w:p w14:paraId="45BF74B6" w14:textId="77777777" w:rsidR="00ED28BE" w:rsidRDefault="00ED28BE" w:rsidP="00F60F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6"/>
          <w:szCs w:val="56"/>
        </w:rPr>
      </w:pPr>
    </w:p>
    <w:p w14:paraId="5CED3A37" w14:textId="77777777" w:rsidR="00ED28BE" w:rsidRDefault="00ED28BE" w:rsidP="00F60F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6"/>
          <w:szCs w:val="56"/>
        </w:rPr>
      </w:pPr>
    </w:p>
    <w:p w14:paraId="13DF307E" w14:textId="77777777" w:rsidR="00ED28BE" w:rsidRDefault="00ED28BE" w:rsidP="00F60F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6"/>
          <w:szCs w:val="56"/>
        </w:rPr>
      </w:pPr>
    </w:p>
    <w:p w14:paraId="74540373" w14:textId="77777777" w:rsidR="00ED28BE" w:rsidRPr="00ED28BE" w:rsidRDefault="00ED28BE" w:rsidP="00F60F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2"/>
          <w:szCs w:val="56"/>
        </w:rPr>
      </w:pPr>
    </w:p>
    <w:p w14:paraId="56153D06" w14:textId="77777777" w:rsidR="00F60F07" w:rsidRPr="00F60F07" w:rsidRDefault="00F60F07" w:rsidP="00F60F07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 w:cs="Times New Roman"/>
          <w:b/>
          <w:bCs/>
          <w:sz w:val="56"/>
          <w:szCs w:val="56"/>
        </w:rPr>
      </w:pPr>
      <w:r w:rsidRPr="00F60F07">
        <w:rPr>
          <w:rFonts w:ascii="Times New Roman" w:hAnsi="Times New Roman" w:cs="Times New Roman"/>
          <w:b/>
          <w:bCs/>
          <w:sz w:val="56"/>
          <w:szCs w:val="56"/>
        </w:rPr>
        <w:t>OBJAŚNIENIA PRZYJĘTYCH</w:t>
      </w:r>
    </w:p>
    <w:p w14:paraId="07D2FEE7" w14:textId="77777777" w:rsidR="00846F85" w:rsidRDefault="00F60F07" w:rsidP="00846F85">
      <w:pPr>
        <w:pStyle w:val="Nagwek1"/>
        <w:numPr>
          <w:ilvl w:val="0"/>
          <w:numId w:val="0"/>
        </w:numPr>
        <w:spacing w:before="0" w:line="240" w:lineRule="auto"/>
        <w:ind w:left="432"/>
        <w:jc w:val="center"/>
        <w:rPr>
          <w:rFonts w:ascii="Times New Roman" w:eastAsiaTheme="minorHAnsi" w:hAnsi="Times New Roman" w:cs="Times New Roman"/>
          <w:color w:val="auto"/>
          <w:sz w:val="56"/>
          <w:szCs w:val="56"/>
        </w:rPr>
      </w:pPr>
      <w:r w:rsidRPr="00F60F07">
        <w:rPr>
          <w:rFonts w:ascii="Times New Roman" w:eastAsiaTheme="minorHAnsi" w:hAnsi="Times New Roman" w:cs="Times New Roman"/>
          <w:color w:val="auto"/>
          <w:sz w:val="56"/>
          <w:szCs w:val="56"/>
        </w:rPr>
        <w:t>WARTOŚCI</w:t>
      </w:r>
    </w:p>
    <w:p w14:paraId="448990BA" w14:textId="77777777" w:rsidR="00846F85" w:rsidRPr="00846F85" w:rsidRDefault="00846F85" w:rsidP="00846F85">
      <w:pPr>
        <w:jc w:val="center"/>
        <w:rPr>
          <w:rFonts w:ascii="Times New Roman" w:hAnsi="Times New Roman" w:cs="Times New Roman"/>
          <w:b/>
          <w:bCs/>
          <w:sz w:val="40"/>
          <w:szCs w:val="40"/>
        </w:rPr>
      </w:pPr>
    </w:p>
    <w:p w14:paraId="6C81FADF" w14:textId="77777777" w:rsidR="00ED28BE" w:rsidRPr="00ED28BE" w:rsidRDefault="00362CB4" w:rsidP="00846F85">
      <w:pPr>
        <w:jc w:val="center"/>
        <w:rPr>
          <w:rFonts w:ascii="Times New Roman" w:hAnsi="Times New Roman" w:cs="Times New Roman"/>
          <w:bCs/>
          <w:sz w:val="56"/>
          <w:szCs w:val="56"/>
        </w:rPr>
      </w:pPr>
      <w:r w:rsidRPr="00ED28BE">
        <w:rPr>
          <w:rFonts w:ascii="Times New Roman" w:hAnsi="Times New Roman" w:cs="Times New Roman"/>
          <w:bCs/>
          <w:sz w:val="56"/>
          <w:szCs w:val="56"/>
        </w:rPr>
        <w:t>W</w:t>
      </w:r>
    </w:p>
    <w:p w14:paraId="51822BE8" w14:textId="77777777" w:rsidR="00ED28BE" w:rsidRPr="00ED28BE" w:rsidRDefault="00846F85" w:rsidP="00846F85">
      <w:pPr>
        <w:jc w:val="center"/>
        <w:rPr>
          <w:rFonts w:ascii="Times New Roman" w:hAnsi="Times New Roman" w:cs="Times New Roman"/>
          <w:bCs/>
          <w:sz w:val="56"/>
          <w:szCs w:val="56"/>
        </w:rPr>
      </w:pPr>
      <w:r w:rsidRPr="00ED28BE">
        <w:rPr>
          <w:rFonts w:ascii="Times New Roman" w:hAnsi="Times New Roman" w:cs="Times New Roman"/>
          <w:bCs/>
          <w:sz w:val="56"/>
          <w:szCs w:val="56"/>
        </w:rPr>
        <w:t xml:space="preserve">WIELOLETNIEJ PROGNOZIE </w:t>
      </w:r>
    </w:p>
    <w:p w14:paraId="09DB3688" w14:textId="77777777" w:rsidR="00ED28BE" w:rsidRDefault="00846F85" w:rsidP="00846F85">
      <w:pPr>
        <w:jc w:val="center"/>
        <w:rPr>
          <w:rFonts w:ascii="Times New Roman" w:hAnsi="Times New Roman" w:cs="Times New Roman"/>
          <w:bCs/>
          <w:sz w:val="56"/>
          <w:szCs w:val="56"/>
        </w:rPr>
      </w:pPr>
      <w:r w:rsidRPr="00ED28BE">
        <w:rPr>
          <w:rFonts w:ascii="Times New Roman" w:hAnsi="Times New Roman" w:cs="Times New Roman"/>
          <w:bCs/>
          <w:sz w:val="56"/>
          <w:szCs w:val="56"/>
        </w:rPr>
        <w:t xml:space="preserve">FINANSOWEJ NA </w:t>
      </w:r>
    </w:p>
    <w:p w14:paraId="39C7AB51" w14:textId="77777777" w:rsidR="00846F85" w:rsidRPr="00ED28BE" w:rsidRDefault="00846F85" w:rsidP="00846F85">
      <w:pPr>
        <w:jc w:val="center"/>
        <w:rPr>
          <w:rFonts w:ascii="Times New Roman" w:hAnsi="Times New Roman" w:cs="Times New Roman"/>
          <w:bCs/>
          <w:sz w:val="56"/>
          <w:szCs w:val="56"/>
        </w:rPr>
      </w:pPr>
      <w:r w:rsidRPr="00ED28BE">
        <w:rPr>
          <w:rFonts w:ascii="Times New Roman" w:hAnsi="Times New Roman" w:cs="Times New Roman"/>
          <w:bCs/>
          <w:sz w:val="56"/>
          <w:szCs w:val="56"/>
        </w:rPr>
        <w:t>LATA 201</w:t>
      </w:r>
      <w:r w:rsidR="006463D9">
        <w:rPr>
          <w:rFonts w:ascii="Times New Roman" w:hAnsi="Times New Roman" w:cs="Times New Roman"/>
          <w:bCs/>
          <w:sz w:val="56"/>
          <w:szCs w:val="56"/>
        </w:rPr>
        <w:t>9</w:t>
      </w:r>
      <w:r w:rsidR="00ED28BE" w:rsidRPr="00387D33">
        <w:rPr>
          <w:rFonts w:ascii="Times New Roman" w:hAnsi="Times New Roman" w:cs="Times New Roman"/>
          <w:sz w:val="56"/>
        </w:rPr>
        <w:t xml:space="preserve"> – </w:t>
      </w:r>
      <w:r w:rsidRPr="00ED28BE">
        <w:rPr>
          <w:rFonts w:ascii="Times New Roman" w:hAnsi="Times New Roman" w:cs="Times New Roman"/>
          <w:bCs/>
          <w:sz w:val="56"/>
          <w:szCs w:val="56"/>
        </w:rPr>
        <w:t xml:space="preserve">2028 </w:t>
      </w:r>
    </w:p>
    <w:p w14:paraId="3C0406D6" w14:textId="77777777" w:rsidR="00ED28BE" w:rsidRPr="00ED28BE" w:rsidRDefault="00ED28BE" w:rsidP="00846F85">
      <w:pPr>
        <w:jc w:val="center"/>
        <w:rPr>
          <w:rFonts w:ascii="Times New Roman" w:hAnsi="Times New Roman" w:cs="Times New Roman"/>
          <w:bCs/>
          <w:color w:val="4F6228" w:themeColor="accent3" w:themeShade="80"/>
          <w:sz w:val="28"/>
          <w:szCs w:val="56"/>
        </w:rPr>
      </w:pPr>
    </w:p>
    <w:p w14:paraId="0187135E" w14:textId="77777777" w:rsidR="00846F85" w:rsidRPr="00ED28BE" w:rsidRDefault="00846F85" w:rsidP="00846F85">
      <w:pPr>
        <w:jc w:val="center"/>
        <w:rPr>
          <w:rFonts w:ascii="Times New Roman" w:hAnsi="Times New Roman" w:cs="Times New Roman"/>
          <w:b/>
          <w:bCs/>
          <w:color w:val="4F6228" w:themeColor="accent3" w:themeShade="80"/>
          <w:sz w:val="56"/>
          <w:szCs w:val="56"/>
        </w:rPr>
      </w:pPr>
      <w:r w:rsidRPr="00ED28BE">
        <w:rPr>
          <w:rFonts w:ascii="Times New Roman" w:hAnsi="Times New Roman" w:cs="Times New Roman"/>
          <w:bCs/>
          <w:color w:val="4F6228" w:themeColor="accent3" w:themeShade="80"/>
          <w:sz w:val="56"/>
          <w:szCs w:val="56"/>
        </w:rPr>
        <w:t>GMINY BIESIEKIERZ</w:t>
      </w:r>
    </w:p>
    <w:p w14:paraId="35FEA589" w14:textId="77777777" w:rsidR="004310C3" w:rsidRPr="00846F85" w:rsidRDefault="004310C3" w:rsidP="00846F85">
      <w:pPr>
        <w:jc w:val="center"/>
        <w:rPr>
          <w:sz w:val="40"/>
          <w:szCs w:val="40"/>
        </w:rPr>
      </w:pPr>
    </w:p>
    <w:p w14:paraId="05214EF1" w14:textId="77777777" w:rsidR="00FB6DDE" w:rsidRPr="00F46626" w:rsidRDefault="00FB6DDE" w:rsidP="00FB6DDE">
      <w:pPr>
        <w:pStyle w:val="Nagwek1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F46626">
        <w:rPr>
          <w:rFonts w:asciiTheme="minorHAnsi" w:hAnsiTheme="minorHAnsi" w:cstheme="minorHAnsi"/>
          <w:color w:val="000000" w:themeColor="text1"/>
          <w:sz w:val="24"/>
          <w:szCs w:val="24"/>
        </w:rPr>
        <w:lastRenderedPageBreak/>
        <w:t>Wprowadzenie</w:t>
      </w:r>
    </w:p>
    <w:p w14:paraId="69DE2E24" w14:textId="77777777" w:rsidR="00FB6DDE" w:rsidRPr="00FB6DDE" w:rsidRDefault="00FB6DDE" w:rsidP="00FB6DDE">
      <w:pPr>
        <w:autoSpaceDE w:val="0"/>
        <w:autoSpaceDN w:val="0"/>
        <w:adjustRightInd w:val="0"/>
        <w:spacing w:after="0" w:line="240" w:lineRule="auto"/>
        <w:rPr>
          <w:rFonts w:cstheme="minorHAnsi"/>
          <w:b/>
          <w:color w:val="76923C" w:themeColor="accent3" w:themeShade="BF"/>
          <w:sz w:val="24"/>
          <w:szCs w:val="24"/>
        </w:rPr>
      </w:pPr>
    </w:p>
    <w:p w14:paraId="0B9D1CEF" w14:textId="77777777" w:rsidR="00FB6DDE" w:rsidRPr="00FB6DDE" w:rsidRDefault="00FB6DDE" w:rsidP="003B46E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FB6DDE">
        <w:rPr>
          <w:rFonts w:cstheme="minorHAnsi"/>
          <w:sz w:val="24"/>
          <w:szCs w:val="24"/>
        </w:rPr>
        <w:t>Zgodnie z art. 230 ustawy o finansach publicznych z dnia 27 sierpnia 2009 roku Wójt Gminy zobowiązany jest do przedstawienia projektu uchwały w sprawie wieloletniej prognozy finansowej lub jej zmiany wraz z projektem uchwały budżetowej Radzie Gminy i Regionalnej Izbie Obrachunkowej. W świetle art. 227 w/w ustawy wieloletnia prognoza finansowa obejmuje okres roku budżetowego oraz co najmniej trzech kolejnych lat, jednakże okres objęty wieloletnią prognozą nie może być krótszy</w:t>
      </w:r>
      <w:r w:rsidR="00896A49">
        <w:rPr>
          <w:rFonts w:cstheme="minorHAnsi"/>
          <w:sz w:val="24"/>
          <w:szCs w:val="24"/>
        </w:rPr>
        <w:t>,</w:t>
      </w:r>
      <w:r w:rsidRPr="00FB6DDE">
        <w:rPr>
          <w:rFonts w:cstheme="minorHAnsi"/>
          <w:sz w:val="24"/>
          <w:szCs w:val="24"/>
        </w:rPr>
        <w:t xml:space="preserve"> niż okres na jaki przyjęto limity wydatków na wieloletnie przedsięwzięcia. Częścią prognozy jest prognoza długu na okres, na który zaciągnięto oraz planuje się zaciągnąć zobowiązania.</w:t>
      </w:r>
    </w:p>
    <w:p w14:paraId="256BA7FC" w14:textId="77777777" w:rsidR="00FB6DDE" w:rsidRPr="00FB6DDE" w:rsidRDefault="00FB6DDE" w:rsidP="003B46E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FB6DDE">
        <w:rPr>
          <w:rFonts w:cstheme="minorHAnsi"/>
          <w:sz w:val="24"/>
          <w:szCs w:val="24"/>
        </w:rPr>
        <w:t>Wypełniając ustawowe zobowiązanie przedkłada się zmianę Wieloletniej Prognozy Finansowej obejmującą rok budżetowy 201</w:t>
      </w:r>
      <w:r w:rsidR="006463D9">
        <w:rPr>
          <w:rFonts w:cstheme="minorHAnsi"/>
          <w:sz w:val="24"/>
          <w:szCs w:val="24"/>
        </w:rPr>
        <w:t>9</w:t>
      </w:r>
      <w:r w:rsidRPr="00FB6DDE">
        <w:rPr>
          <w:rFonts w:cstheme="minorHAnsi"/>
          <w:sz w:val="24"/>
          <w:szCs w:val="24"/>
        </w:rPr>
        <w:t xml:space="preserve"> oraz lata następne, na które planuje się płatności z tytułu spłaty zaciągniętych</w:t>
      </w:r>
      <w:r>
        <w:rPr>
          <w:rFonts w:cstheme="minorHAnsi"/>
          <w:sz w:val="24"/>
          <w:szCs w:val="24"/>
        </w:rPr>
        <w:t xml:space="preserve"> </w:t>
      </w:r>
      <w:r w:rsidRPr="00FB6DDE">
        <w:rPr>
          <w:rFonts w:cstheme="minorHAnsi"/>
          <w:sz w:val="24"/>
          <w:szCs w:val="24"/>
        </w:rPr>
        <w:t>i planowanych do zaciągnięcia kredytów i pożyczek.</w:t>
      </w:r>
    </w:p>
    <w:p w14:paraId="2E183A00" w14:textId="77777777" w:rsidR="00FB6DDE" w:rsidRDefault="00FB6DDE" w:rsidP="003B46EE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FB6DDE">
        <w:rPr>
          <w:rFonts w:cstheme="minorHAnsi"/>
          <w:sz w:val="24"/>
          <w:szCs w:val="24"/>
        </w:rPr>
        <w:t xml:space="preserve">Zmieniona </w:t>
      </w:r>
      <w:r>
        <w:rPr>
          <w:rFonts w:cstheme="minorHAnsi"/>
          <w:sz w:val="24"/>
          <w:szCs w:val="24"/>
        </w:rPr>
        <w:t>w</w:t>
      </w:r>
      <w:r w:rsidRPr="00FB6DDE">
        <w:rPr>
          <w:rFonts w:cstheme="minorHAnsi"/>
          <w:sz w:val="24"/>
          <w:szCs w:val="24"/>
        </w:rPr>
        <w:t xml:space="preserve">ieloletnia </w:t>
      </w:r>
      <w:r>
        <w:rPr>
          <w:rFonts w:cstheme="minorHAnsi"/>
          <w:sz w:val="24"/>
          <w:szCs w:val="24"/>
        </w:rPr>
        <w:t>p</w:t>
      </w:r>
      <w:r w:rsidRPr="00FB6DDE">
        <w:rPr>
          <w:rFonts w:cstheme="minorHAnsi"/>
          <w:sz w:val="24"/>
          <w:szCs w:val="24"/>
        </w:rPr>
        <w:t xml:space="preserve">rognoza </w:t>
      </w:r>
      <w:r>
        <w:rPr>
          <w:rFonts w:cstheme="minorHAnsi"/>
          <w:sz w:val="24"/>
          <w:szCs w:val="24"/>
        </w:rPr>
        <w:t>f</w:t>
      </w:r>
      <w:r w:rsidRPr="00FB6DDE">
        <w:rPr>
          <w:rFonts w:cstheme="minorHAnsi"/>
          <w:sz w:val="24"/>
          <w:szCs w:val="24"/>
        </w:rPr>
        <w:t xml:space="preserve">inansowa </w:t>
      </w:r>
      <w:r>
        <w:rPr>
          <w:rFonts w:cstheme="minorHAnsi"/>
          <w:sz w:val="24"/>
          <w:szCs w:val="24"/>
        </w:rPr>
        <w:t>g</w:t>
      </w:r>
      <w:r w:rsidRPr="00FB6DDE">
        <w:rPr>
          <w:rFonts w:cstheme="minorHAnsi"/>
          <w:sz w:val="24"/>
          <w:szCs w:val="24"/>
        </w:rPr>
        <w:t>miny Biesiekierz obejmuje lata 201</w:t>
      </w:r>
      <w:r w:rsidR="006463D9">
        <w:rPr>
          <w:rFonts w:cstheme="minorHAnsi"/>
          <w:sz w:val="24"/>
          <w:szCs w:val="24"/>
        </w:rPr>
        <w:t>9</w:t>
      </w:r>
      <w:r w:rsidRPr="00FB6DDE">
        <w:rPr>
          <w:rFonts w:cstheme="minorHAnsi"/>
          <w:sz w:val="24"/>
          <w:szCs w:val="24"/>
        </w:rPr>
        <w:t>-2028.</w:t>
      </w:r>
    </w:p>
    <w:p w14:paraId="7275E877" w14:textId="77777777" w:rsidR="008B0D6E" w:rsidRDefault="008B0D6E" w:rsidP="003B46EE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</w:p>
    <w:p w14:paraId="30640E99" w14:textId="77777777" w:rsidR="00F60F07" w:rsidRDefault="00F60F07" w:rsidP="00985FD7">
      <w:pPr>
        <w:pStyle w:val="Nagwek1"/>
        <w:spacing w:before="120" w:line="240" w:lineRule="auto"/>
        <w:ind w:left="431" w:hanging="431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F46626">
        <w:rPr>
          <w:rFonts w:asciiTheme="minorHAnsi" w:hAnsiTheme="minorHAnsi" w:cstheme="minorHAnsi"/>
          <w:color w:val="000000" w:themeColor="text1"/>
          <w:sz w:val="24"/>
          <w:szCs w:val="24"/>
        </w:rPr>
        <w:t>Założenia makroekonomiczne i finansowe</w:t>
      </w:r>
    </w:p>
    <w:p w14:paraId="0990D6AE" w14:textId="77777777" w:rsidR="00985FD7" w:rsidRDefault="00985FD7" w:rsidP="00985FD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1488958C" w14:textId="77777777" w:rsidR="00F60F07" w:rsidRPr="00F60F07" w:rsidRDefault="00CE212B" w:rsidP="00985FD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Wieloletnia prognoza</w:t>
      </w:r>
      <w:r w:rsidR="00F60F07" w:rsidRPr="00F60F07">
        <w:rPr>
          <w:rFonts w:cstheme="minorHAnsi"/>
          <w:sz w:val="24"/>
          <w:szCs w:val="24"/>
        </w:rPr>
        <w:t xml:space="preserve"> finansowa </w:t>
      </w:r>
      <w:r w:rsidR="0059123F">
        <w:rPr>
          <w:rFonts w:cstheme="minorHAnsi"/>
          <w:sz w:val="24"/>
          <w:szCs w:val="24"/>
        </w:rPr>
        <w:t>gminy Biesiekierz</w:t>
      </w:r>
      <w:r w:rsidR="00F60F07" w:rsidRPr="00F60F07">
        <w:rPr>
          <w:rFonts w:cstheme="minorHAnsi"/>
          <w:sz w:val="24"/>
          <w:szCs w:val="24"/>
        </w:rPr>
        <w:t xml:space="preserve"> (WPF) opracowana została w głównej</w:t>
      </w:r>
      <w:r w:rsidR="0059123F">
        <w:rPr>
          <w:rFonts w:cstheme="minorHAnsi"/>
          <w:sz w:val="24"/>
          <w:szCs w:val="24"/>
        </w:rPr>
        <w:t xml:space="preserve"> </w:t>
      </w:r>
      <w:r w:rsidR="00F60F07" w:rsidRPr="00F60F07">
        <w:rPr>
          <w:rFonts w:cstheme="minorHAnsi"/>
          <w:sz w:val="24"/>
          <w:szCs w:val="24"/>
        </w:rPr>
        <w:t>mierze w oparciu o założenia wskaźnikowe przyjęte przez Ministerstwo Finansów.</w:t>
      </w:r>
      <w:r w:rsidR="00985FD7">
        <w:rPr>
          <w:rFonts w:cstheme="minorHAnsi"/>
          <w:sz w:val="24"/>
          <w:szCs w:val="24"/>
        </w:rPr>
        <w:br/>
      </w:r>
      <w:r w:rsidR="00F60F07" w:rsidRPr="00F60F07">
        <w:rPr>
          <w:rFonts w:cstheme="minorHAnsi"/>
          <w:sz w:val="24"/>
          <w:szCs w:val="24"/>
        </w:rPr>
        <w:t>W szczególności wykorzystano dane makroekonomiczne dotyczące prognoz w zakresie</w:t>
      </w:r>
      <w:r w:rsidR="0059123F">
        <w:rPr>
          <w:rFonts w:cstheme="minorHAnsi"/>
          <w:sz w:val="24"/>
          <w:szCs w:val="24"/>
        </w:rPr>
        <w:t xml:space="preserve"> </w:t>
      </w:r>
      <w:r w:rsidR="00F60F07" w:rsidRPr="00F60F07">
        <w:rPr>
          <w:rFonts w:cstheme="minorHAnsi"/>
          <w:sz w:val="24"/>
          <w:szCs w:val="24"/>
        </w:rPr>
        <w:t>dynamiki Produktu Krajowego Brutto (PKB) oraz kształtowania średniorocznej dynamiki cen</w:t>
      </w:r>
      <w:r w:rsidR="0059123F">
        <w:rPr>
          <w:rFonts w:cstheme="minorHAnsi"/>
          <w:sz w:val="24"/>
          <w:szCs w:val="24"/>
        </w:rPr>
        <w:t xml:space="preserve"> </w:t>
      </w:r>
      <w:r w:rsidR="00F60F07" w:rsidRPr="00F60F07">
        <w:rPr>
          <w:rFonts w:cstheme="minorHAnsi"/>
          <w:sz w:val="24"/>
          <w:szCs w:val="24"/>
        </w:rPr>
        <w:t>towarów i usług konsumpcyjnych (inflacji).</w:t>
      </w:r>
    </w:p>
    <w:p w14:paraId="56DDE883" w14:textId="77777777" w:rsidR="00F60F07" w:rsidRPr="00F60F07" w:rsidRDefault="00F60F07" w:rsidP="003B46E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F60F07">
        <w:rPr>
          <w:rFonts w:cstheme="minorHAnsi"/>
          <w:sz w:val="24"/>
          <w:szCs w:val="24"/>
        </w:rPr>
        <w:t>Dla potrzeb wieloletniej prognozy finansowej przyjęto dynamikę cen towarów i usług</w:t>
      </w:r>
      <w:r w:rsidR="0059123F">
        <w:rPr>
          <w:rFonts w:cstheme="minorHAnsi"/>
          <w:sz w:val="24"/>
          <w:szCs w:val="24"/>
        </w:rPr>
        <w:t xml:space="preserve"> </w:t>
      </w:r>
      <w:r w:rsidRPr="00F60F07">
        <w:rPr>
          <w:rFonts w:cstheme="minorHAnsi"/>
          <w:sz w:val="24"/>
          <w:szCs w:val="24"/>
        </w:rPr>
        <w:t>konsumpcyjnych w I półroczu roku poprzedzającego rok budżetowy w stosunku do I półrocza</w:t>
      </w:r>
    </w:p>
    <w:p w14:paraId="1A2DBC77" w14:textId="77777777" w:rsidR="00F60F07" w:rsidRPr="00F60F07" w:rsidRDefault="00F60F07" w:rsidP="003B46EE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F60F07">
        <w:rPr>
          <w:rFonts w:cstheme="minorHAnsi"/>
          <w:sz w:val="24"/>
          <w:szCs w:val="24"/>
        </w:rPr>
        <w:t>roku poprzedniego, która zgodnie z ustawą o podatkach i opłatach lokalnych stanowi</w:t>
      </w:r>
      <w:r w:rsidR="0059123F">
        <w:rPr>
          <w:rFonts w:cstheme="minorHAnsi"/>
          <w:sz w:val="24"/>
          <w:szCs w:val="24"/>
        </w:rPr>
        <w:t xml:space="preserve"> </w:t>
      </w:r>
      <w:r w:rsidRPr="00F60F07">
        <w:rPr>
          <w:rFonts w:cstheme="minorHAnsi"/>
          <w:sz w:val="24"/>
          <w:szCs w:val="24"/>
        </w:rPr>
        <w:t>podstawę do przeszacowywania stawek maksymalnych podatków i opłat lokalnych w roku</w:t>
      </w:r>
      <w:r w:rsidR="0059123F">
        <w:rPr>
          <w:rFonts w:cstheme="minorHAnsi"/>
          <w:sz w:val="24"/>
          <w:szCs w:val="24"/>
        </w:rPr>
        <w:t xml:space="preserve"> </w:t>
      </w:r>
      <w:r w:rsidRPr="00F60F07">
        <w:rPr>
          <w:rFonts w:cstheme="minorHAnsi"/>
          <w:sz w:val="24"/>
          <w:szCs w:val="24"/>
        </w:rPr>
        <w:t>budżetowym oraz zaprognozowano stawki ceny pieniądza na rynku międzybankowym</w:t>
      </w:r>
      <w:r w:rsidR="0059123F">
        <w:rPr>
          <w:rFonts w:cstheme="minorHAnsi"/>
          <w:sz w:val="24"/>
          <w:szCs w:val="24"/>
        </w:rPr>
        <w:t xml:space="preserve"> </w:t>
      </w:r>
      <w:r w:rsidRPr="00F60F07">
        <w:rPr>
          <w:rFonts w:cstheme="minorHAnsi"/>
          <w:sz w:val="24"/>
          <w:szCs w:val="24"/>
        </w:rPr>
        <w:t>(WIBOR3M/WIBOR6M), które stanowią podstawę do wyliczenia kosztów odsetek od</w:t>
      </w:r>
      <w:r w:rsidR="0059123F">
        <w:rPr>
          <w:rFonts w:cstheme="minorHAnsi"/>
          <w:sz w:val="24"/>
          <w:szCs w:val="24"/>
        </w:rPr>
        <w:t xml:space="preserve"> </w:t>
      </w:r>
      <w:r w:rsidRPr="00F60F07">
        <w:rPr>
          <w:rFonts w:cstheme="minorHAnsi"/>
          <w:sz w:val="24"/>
          <w:szCs w:val="24"/>
        </w:rPr>
        <w:t>zadłużenia.</w:t>
      </w:r>
    </w:p>
    <w:p w14:paraId="67A3D0A8" w14:textId="77777777" w:rsidR="004310C3" w:rsidRDefault="00F60F07" w:rsidP="003B46EE">
      <w:pPr>
        <w:spacing w:line="240" w:lineRule="auto"/>
        <w:jc w:val="both"/>
        <w:rPr>
          <w:rFonts w:cstheme="minorHAnsi"/>
          <w:sz w:val="24"/>
          <w:szCs w:val="24"/>
        </w:rPr>
      </w:pPr>
      <w:r w:rsidRPr="00F60F07">
        <w:rPr>
          <w:rFonts w:cstheme="minorHAnsi"/>
          <w:sz w:val="24"/>
          <w:szCs w:val="24"/>
        </w:rPr>
        <w:t>Szczegółowe prognozy makroekonomiczne i finansowe na lata 201</w:t>
      </w:r>
      <w:r w:rsidR="006463D9">
        <w:rPr>
          <w:rFonts w:cstheme="minorHAnsi"/>
          <w:sz w:val="24"/>
          <w:szCs w:val="24"/>
        </w:rPr>
        <w:t>8</w:t>
      </w:r>
      <w:r w:rsidRPr="00F60F07">
        <w:rPr>
          <w:rFonts w:cstheme="minorHAnsi"/>
          <w:sz w:val="24"/>
          <w:szCs w:val="24"/>
        </w:rPr>
        <w:t>-20</w:t>
      </w:r>
      <w:r w:rsidR="006463D9">
        <w:rPr>
          <w:rFonts w:cstheme="minorHAnsi"/>
          <w:sz w:val="24"/>
          <w:szCs w:val="24"/>
        </w:rPr>
        <w:t>20</w:t>
      </w:r>
      <w:r w:rsidRPr="00F60F07">
        <w:rPr>
          <w:rFonts w:cstheme="minorHAnsi"/>
          <w:sz w:val="24"/>
          <w:szCs w:val="24"/>
        </w:rPr>
        <w:t xml:space="preserve"> przedstawia tabela</w:t>
      </w:r>
      <w:r w:rsidR="0059123F">
        <w:rPr>
          <w:rFonts w:cstheme="minorHAnsi"/>
          <w:sz w:val="24"/>
          <w:szCs w:val="24"/>
        </w:rPr>
        <w:t xml:space="preserve"> </w:t>
      </w:r>
      <w:r w:rsidR="008E3209">
        <w:rPr>
          <w:rFonts w:cstheme="minorHAnsi"/>
          <w:sz w:val="24"/>
          <w:szCs w:val="24"/>
        </w:rPr>
        <w:t>nr 1.</w:t>
      </w:r>
    </w:p>
    <w:p w14:paraId="1288BC6A" w14:textId="77777777" w:rsidR="008E3209" w:rsidRPr="00CB504E" w:rsidRDefault="008E3209" w:rsidP="008E3209">
      <w:pPr>
        <w:pStyle w:val="Legenda"/>
        <w:rPr>
          <w:rFonts w:cstheme="minorHAnsi"/>
          <w:color w:val="auto"/>
          <w:sz w:val="22"/>
          <w:szCs w:val="22"/>
        </w:rPr>
      </w:pPr>
      <w:r w:rsidRPr="00CB504E">
        <w:rPr>
          <w:rFonts w:cstheme="minorHAnsi"/>
          <w:color w:val="auto"/>
          <w:sz w:val="22"/>
          <w:szCs w:val="22"/>
        </w:rPr>
        <w:t>Tabel</w:t>
      </w:r>
      <w:r>
        <w:rPr>
          <w:rFonts w:cstheme="minorHAnsi"/>
          <w:color w:val="auto"/>
          <w:sz w:val="22"/>
          <w:szCs w:val="22"/>
        </w:rPr>
        <w:t>a</w:t>
      </w:r>
      <w:r w:rsidRPr="00CB504E">
        <w:rPr>
          <w:rFonts w:cstheme="minorHAnsi"/>
          <w:color w:val="auto"/>
          <w:sz w:val="22"/>
          <w:szCs w:val="22"/>
        </w:rPr>
        <w:t xml:space="preserve"> nr 1. Podstawowe wskaźniki makroekonomiczne na lata  201</w:t>
      </w:r>
      <w:r w:rsidR="006463D9">
        <w:rPr>
          <w:rFonts w:cstheme="minorHAnsi"/>
          <w:color w:val="auto"/>
          <w:sz w:val="22"/>
          <w:szCs w:val="22"/>
        </w:rPr>
        <w:t>8</w:t>
      </w:r>
      <w:r w:rsidRPr="00CB504E">
        <w:rPr>
          <w:rFonts w:cstheme="minorHAnsi"/>
          <w:color w:val="auto"/>
          <w:sz w:val="22"/>
          <w:szCs w:val="22"/>
        </w:rPr>
        <w:t xml:space="preserve"> -20</w:t>
      </w:r>
      <w:r w:rsidR="006463D9">
        <w:rPr>
          <w:rFonts w:cstheme="minorHAnsi"/>
          <w:color w:val="auto"/>
          <w:sz w:val="22"/>
          <w:szCs w:val="22"/>
        </w:rPr>
        <w:t>20</w:t>
      </w:r>
      <w:r>
        <w:rPr>
          <w:rFonts w:cstheme="minorHAnsi"/>
          <w:color w:val="auto"/>
          <w:sz w:val="22"/>
          <w:szCs w:val="22"/>
        </w:rPr>
        <w:t>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657"/>
        <w:gridCol w:w="1185"/>
        <w:gridCol w:w="1185"/>
        <w:gridCol w:w="1185"/>
      </w:tblGrid>
      <w:tr w:rsidR="00FB6DDE" w:rsidRPr="00FB6DDE" w14:paraId="2F513574" w14:textId="77777777" w:rsidTr="00985FD7">
        <w:trPr>
          <w:trHeight w:val="615"/>
        </w:trPr>
        <w:tc>
          <w:tcPr>
            <w:tcW w:w="3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8E4BC"/>
            <w:vAlign w:val="center"/>
            <w:hideMark/>
          </w:tcPr>
          <w:p w14:paraId="22B0D9E5" w14:textId="77777777" w:rsidR="00FB6DDE" w:rsidRPr="00FB6DDE" w:rsidRDefault="00FB6DDE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Wyszczególnienie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4BC"/>
            <w:vAlign w:val="center"/>
            <w:hideMark/>
          </w:tcPr>
          <w:p w14:paraId="75A3E02F" w14:textId="77777777" w:rsidR="00FB6DDE" w:rsidRPr="00FB6DDE" w:rsidRDefault="00FB6DDE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201</w:t>
            </w:r>
            <w:r w:rsidR="006463D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8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4BC"/>
            <w:vAlign w:val="center"/>
            <w:hideMark/>
          </w:tcPr>
          <w:p w14:paraId="2ADC5B8B" w14:textId="77777777" w:rsidR="00FB6DDE" w:rsidRPr="00FB6DDE" w:rsidRDefault="00FB6DDE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201</w:t>
            </w:r>
            <w:r w:rsidR="006463D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9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8E4BC"/>
            <w:vAlign w:val="center"/>
            <w:hideMark/>
          </w:tcPr>
          <w:p w14:paraId="62B0AFB2" w14:textId="77777777" w:rsidR="00FB6DDE" w:rsidRPr="00FB6DDE" w:rsidRDefault="00FB6DDE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</w:t>
            </w:r>
            <w:r w:rsidR="006463D9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</w:t>
            </w:r>
          </w:p>
        </w:tc>
      </w:tr>
      <w:tr w:rsidR="00FB6DDE" w:rsidRPr="00FB6DDE" w14:paraId="4DD8C988" w14:textId="77777777" w:rsidTr="00985FD7">
        <w:trPr>
          <w:trHeight w:val="354"/>
        </w:trPr>
        <w:tc>
          <w:tcPr>
            <w:tcW w:w="30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7C6B4C" w14:textId="77777777" w:rsidR="00FB6DDE" w:rsidRPr="00FB6DDE" w:rsidRDefault="00FB6DDE" w:rsidP="00FB6DD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PKB – dynamika realna %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D1961" w14:textId="77777777" w:rsidR="00FB6DDE" w:rsidRPr="00FB6DDE" w:rsidRDefault="00FB6DDE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103,</w:t>
            </w:r>
            <w:r w:rsidR="006463D9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335EC0" w14:textId="77777777" w:rsidR="00FB6DDE" w:rsidRPr="00FB6DDE" w:rsidRDefault="00FB6DDE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103,8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C6D4A7" w14:textId="77777777" w:rsidR="00FB6DDE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103,7</w:t>
            </w:r>
          </w:p>
        </w:tc>
      </w:tr>
      <w:tr w:rsidR="00FB6DDE" w:rsidRPr="00FB6DDE" w14:paraId="3984E30A" w14:textId="77777777" w:rsidTr="00985FD7">
        <w:trPr>
          <w:trHeight w:val="416"/>
        </w:trPr>
        <w:tc>
          <w:tcPr>
            <w:tcW w:w="30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84F75" w14:textId="77777777" w:rsidR="00FB6DDE" w:rsidRPr="00FB6DDE" w:rsidRDefault="00FB6DDE" w:rsidP="00FB6DD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Dynamika cen towarów i usług konsumpcyjnych - średnioroczna %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CD084F" w14:textId="77777777" w:rsidR="00FB6DDE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102,3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C47925" w14:textId="77777777" w:rsidR="00FB6DDE" w:rsidRPr="00FB6DDE" w:rsidRDefault="00FB6DDE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102,3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84DFF" w14:textId="77777777" w:rsidR="00FB6DDE" w:rsidRPr="00FB6DDE" w:rsidRDefault="00FB6DDE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102,</w:t>
            </w:r>
            <w:r w:rsidR="006463D9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5</w:t>
            </w:r>
          </w:p>
        </w:tc>
      </w:tr>
      <w:tr w:rsidR="00FB6DDE" w:rsidRPr="00FB6DDE" w14:paraId="267B3FF3" w14:textId="77777777" w:rsidTr="003B46EE">
        <w:trPr>
          <w:trHeight w:val="408"/>
        </w:trPr>
        <w:tc>
          <w:tcPr>
            <w:tcW w:w="30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06C156" w14:textId="77777777" w:rsidR="00FB6DDE" w:rsidRPr="00FB6DDE" w:rsidRDefault="00FB6DDE" w:rsidP="00FB6DD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Przeciętne wynagrodzenie brutto w gospodarce narodowej – zł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33DDC1" w14:textId="77777777" w:rsidR="00FB6DDE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4 513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CF02F7" w14:textId="77777777" w:rsidR="00FB6DDE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4 765</w:t>
            </w:r>
          </w:p>
        </w:tc>
        <w:tc>
          <w:tcPr>
            <w:tcW w:w="64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0B18D02" w14:textId="77777777" w:rsidR="00FB6DDE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5 027</w:t>
            </w:r>
          </w:p>
        </w:tc>
      </w:tr>
      <w:tr w:rsidR="00FB6DDE" w:rsidRPr="00FB6DDE" w14:paraId="04C35F78" w14:textId="77777777" w:rsidTr="003B46EE">
        <w:trPr>
          <w:trHeight w:val="414"/>
        </w:trPr>
        <w:tc>
          <w:tcPr>
            <w:tcW w:w="30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15105EC" w14:textId="77777777" w:rsidR="00FB6DDE" w:rsidRPr="00FB6DDE" w:rsidRDefault="00FB6DDE" w:rsidP="00FB6DDE">
            <w:pPr>
              <w:spacing w:after="0" w:line="240" w:lineRule="auto"/>
              <w:jc w:val="both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Stopa bezrobocia - %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C5D14DC" w14:textId="77777777" w:rsidR="00FB6DDE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6,2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9F62BDE" w14:textId="77777777" w:rsidR="00FB6DDE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5,6</w:t>
            </w:r>
          </w:p>
        </w:tc>
        <w:tc>
          <w:tcPr>
            <w:tcW w:w="64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FDA583" w14:textId="77777777" w:rsidR="00FB6DDE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</w:pPr>
            <w:r>
              <w:rPr>
                <w:rFonts w:ascii="Calibri" w:eastAsia="Times New Roman" w:hAnsi="Calibri" w:cs="Calibri"/>
                <w:color w:val="000000"/>
                <w:sz w:val="20"/>
                <w:szCs w:val="20"/>
                <w:lang w:eastAsia="pl-PL"/>
              </w:rPr>
              <w:t>5,0</w:t>
            </w:r>
          </w:p>
        </w:tc>
      </w:tr>
    </w:tbl>
    <w:p w14:paraId="56324001" w14:textId="77777777" w:rsidR="00985FD7" w:rsidRDefault="00985FD7" w:rsidP="00FB6DDE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</w:p>
    <w:p w14:paraId="60CE5628" w14:textId="77777777" w:rsidR="00FB6DDE" w:rsidRDefault="00FB6DDE" w:rsidP="00985FD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FB6DDE">
        <w:rPr>
          <w:rFonts w:cstheme="minorHAnsi"/>
          <w:sz w:val="24"/>
          <w:szCs w:val="24"/>
        </w:rPr>
        <w:t>Do najważniejszych czynników makroekonomicznych mających wpływ na poziom dochodów należy wzrost gospodarczy mierzony wskaźnikiem realnego wzrostu PKB. W publikowanych założeniach Minister Finansów prognozuje, że w 201</w:t>
      </w:r>
      <w:r w:rsidR="006463D9">
        <w:rPr>
          <w:rFonts w:cstheme="minorHAnsi"/>
          <w:sz w:val="24"/>
          <w:szCs w:val="24"/>
        </w:rPr>
        <w:t>8</w:t>
      </w:r>
      <w:r w:rsidRPr="00FB6DDE">
        <w:rPr>
          <w:rFonts w:cstheme="minorHAnsi"/>
          <w:sz w:val="24"/>
          <w:szCs w:val="24"/>
        </w:rPr>
        <w:t xml:space="preserve"> roku wskaźnik ten będzie kształtował się na poziomie </w:t>
      </w:r>
      <w:r>
        <w:rPr>
          <w:rFonts w:cstheme="minorHAnsi"/>
          <w:sz w:val="24"/>
          <w:szCs w:val="24"/>
        </w:rPr>
        <w:t>3,</w:t>
      </w:r>
      <w:r w:rsidR="006463D9">
        <w:rPr>
          <w:rFonts w:cstheme="minorHAnsi"/>
          <w:sz w:val="24"/>
          <w:szCs w:val="24"/>
        </w:rPr>
        <w:t>8</w:t>
      </w:r>
      <w:r w:rsidRPr="00FB6DDE">
        <w:rPr>
          <w:rFonts w:cstheme="minorHAnsi"/>
          <w:sz w:val="24"/>
          <w:szCs w:val="24"/>
        </w:rPr>
        <w:t>%, w 201</w:t>
      </w:r>
      <w:r w:rsidR="006463D9">
        <w:rPr>
          <w:rFonts w:cstheme="minorHAnsi"/>
          <w:sz w:val="24"/>
          <w:szCs w:val="24"/>
        </w:rPr>
        <w:t>9</w:t>
      </w:r>
      <w:r w:rsidRPr="00FB6DDE">
        <w:rPr>
          <w:rFonts w:cstheme="minorHAnsi"/>
          <w:sz w:val="24"/>
          <w:szCs w:val="24"/>
        </w:rPr>
        <w:t xml:space="preserve"> roku - 3,</w:t>
      </w:r>
      <w:r>
        <w:rPr>
          <w:rFonts w:cstheme="minorHAnsi"/>
          <w:sz w:val="24"/>
          <w:szCs w:val="24"/>
        </w:rPr>
        <w:t>8</w:t>
      </w:r>
      <w:r w:rsidRPr="00FB6DDE">
        <w:rPr>
          <w:rFonts w:cstheme="minorHAnsi"/>
          <w:sz w:val="24"/>
          <w:szCs w:val="24"/>
        </w:rPr>
        <w:t xml:space="preserve">% i będzie </w:t>
      </w:r>
      <w:r w:rsidR="006463D9">
        <w:rPr>
          <w:rFonts w:cstheme="minorHAnsi"/>
          <w:sz w:val="24"/>
          <w:szCs w:val="24"/>
        </w:rPr>
        <w:t xml:space="preserve">malał </w:t>
      </w:r>
      <w:r w:rsidRPr="00FB6DDE">
        <w:rPr>
          <w:rFonts w:cstheme="minorHAnsi"/>
          <w:sz w:val="24"/>
          <w:szCs w:val="24"/>
        </w:rPr>
        <w:t xml:space="preserve">w następnych latach, aż osiągnie dynamikę </w:t>
      </w:r>
      <w:r w:rsidR="006463D9">
        <w:rPr>
          <w:rFonts w:cstheme="minorHAnsi"/>
          <w:sz w:val="24"/>
          <w:szCs w:val="24"/>
        </w:rPr>
        <w:t>2,8</w:t>
      </w:r>
      <w:r w:rsidRPr="00FB6DDE">
        <w:rPr>
          <w:rFonts w:cstheme="minorHAnsi"/>
          <w:sz w:val="24"/>
          <w:szCs w:val="24"/>
        </w:rPr>
        <w:t>% w 20</w:t>
      </w:r>
      <w:r w:rsidR="006463D9">
        <w:rPr>
          <w:rFonts w:cstheme="minorHAnsi"/>
          <w:sz w:val="24"/>
          <w:szCs w:val="24"/>
        </w:rPr>
        <w:t>28</w:t>
      </w:r>
      <w:r w:rsidRPr="00FB6DDE">
        <w:rPr>
          <w:rFonts w:cstheme="minorHAnsi"/>
          <w:sz w:val="24"/>
          <w:szCs w:val="24"/>
        </w:rPr>
        <w:t xml:space="preserve"> roku. Zgodnie z założeniami rządowymi tempo wzrostu PKB oraz </w:t>
      </w:r>
      <w:r w:rsidRPr="00FB6DDE">
        <w:rPr>
          <w:rFonts w:cstheme="minorHAnsi"/>
          <w:sz w:val="24"/>
          <w:szCs w:val="24"/>
        </w:rPr>
        <w:lastRenderedPageBreak/>
        <w:t>dynamika cen towarów i usług konsumpcyjnych w poszczególnych latach po 20</w:t>
      </w:r>
      <w:r w:rsidR="006463D9">
        <w:rPr>
          <w:rFonts w:cstheme="minorHAnsi"/>
          <w:sz w:val="24"/>
          <w:szCs w:val="24"/>
        </w:rPr>
        <w:t>20</w:t>
      </w:r>
      <w:r w:rsidRPr="00FB6DDE">
        <w:rPr>
          <w:rFonts w:cstheme="minorHAnsi"/>
          <w:sz w:val="24"/>
          <w:szCs w:val="24"/>
        </w:rPr>
        <w:t xml:space="preserve"> roku będą przybierać wartości, które prezentuje poniższa tabela nr 2. </w:t>
      </w:r>
    </w:p>
    <w:p w14:paraId="66CC16AB" w14:textId="77777777" w:rsidR="008E3209" w:rsidRPr="008121D1" w:rsidRDefault="008E3209" w:rsidP="008E3209">
      <w:pPr>
        <w:pStyle w:val="Legenda"/>
        <w:rPr>
          <w:rFonts w:cstheme="minorHAnsi"/>
          <w:color w:val="auto"/>
          <w:sz w:val="22"/>
          <w:szCs w:val="22"/>
        </w:rPr>
      </w:pPr>
      <w:r w:rsidRPr="008121D1">
        <w:rPr>
          <w:rFonts w:cstheme="minorHAnsi"/>
          <w:color w:val="auto"/>
          <w:sz w:val="22"/>
          <w:szCs w:val="22"/>
        </w:rPr>
        <w:t>Tabela nr 2. Scenariusz podstawowych wskaźników makroekonomicznych w latach 202</w:t>
      </w:r>
      <w:r w:rsidR="006463D9">
        <w:rPr>
          <w:rFonts w:cstheme="minorHAnsi"/>
          <w:color w:val="auto"/>
          <w:sz w:val="22"/>
          <w:szCs w:val="22"/>
        </w:rPr>
        <w:t>1</w:t>
      </w:r>
      <w:r w:rsidRPr="008121D1">
        <w:rPr>
          <w:rFonts w:cstheme="minorHAnsi"/>
          <w:color w:val="auto"/>
          <w:sz w:val="22"/>
          <w:szCs w:val="22"/>
        </w:rPr>
        <w:t>-2028</w:t>
      </w:r>
      <w:r>
        <w:rPr>
          <w:rFonts w:cstheme="minorHAnsi"/>
          <w:color w:val="auto"/>
          <w:sz w:val="22"/>
          <w:szCs w:val="22"/>
        </w:rPr>
        <w:t>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7"/>
        <w:gridCol w:w="886"/>
        <w:gridCol w:w="886"/>
        <w:gridCol w:w="886"/>
        <w:gridCol w:w="886"/>
        <w:gridCol w:w="886"/>
        <w:gridCol w:w="886"/>
        <w:gridCol w:w="886"/>
        <w:gridCol w:w="883"/>
      </w:tblGrid>
      <w:tr w:rsidR="006463D9" w:rsidRPr="00FB6DDE" w14:paraId="0DCA08FB" w14:textId="77777777" w:rsidTr="006463D9">
        <w:trPr>
          <w:trHeight w:val="589"/>
        </w:trPr>
        <w:tc>
          <w:tcPr>
            <w:tcW w:w="1154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8E8BAB" w14:textId="77777777" w:rsidR="006463D9" w:rsidRPr="00FB6DDE" w:rsidRDefault="006463D9" w:rsidP="00FB6DD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Wyszczególnienie</w:t>
            </w:r>
          </w:p>
        </w:tc>
        <w:tc>
          <w:tcPr>
            <w:tcW w:w="48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D90E806" w14:textId="77777777" w:rsidR="006463D9" w:rsidRPr="00FB6DDE" w:rsidRDefault="006463D9" w:rsidP="008E32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202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1</w:t>
            </w:r>
          </w:p>
        </w:tc>
        <w:tc>
          <w:tcPr>
            <w:tcW w:w="48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B222444" w14:textId="77777777" w:rsidR="006463D9" w:rsidRPr="00FB6DDE" w:rsidRDefault="006463D9" w:rsidP="008E32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202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</w:t>
            </w:r>
          </w:p>
        </w:tc>
        <w:tc>
          <w:tcPr>
            <w:tcW w:w="48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7D628BC" w14:textId="77777777" w:rsidR="006463D9" w:rsidRPr="00FB6DDE" w:rsidRDefault="006463D9" w:rsidP="008E32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202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3</w:t>
            </w:r>
          </w:p>
        </w:tc>
        <w:tc>
          <w:tcPr>
            <w:tcW w:w="48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E57A94" w14:textId="77777777" w:rsidR="006463D9" w:rsidRPr="00FB6DDE" w:rsidRDefault="006463D9" w:rsidP="008E32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202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4</w:t>
            </w:r>
          </w:p>
        </w:tc>
        <w:tc>
          <w:tcPr>
            <w:tcW w:w="48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79C6824" w14:textId="77777777" w:rsidR="006463D9" w:rsidRPr="00FB6DDE" w:rsidRDefault="006463D9" w:rsidP="008E32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202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5</w:t>
            </w:r>
          </w:p>
        </w:tc>
        <w:tc>
          <w:tcPr>
            <w:tcW w:w="48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65407E4" w14:textId="77777777" w:rsidR="006463D9" w:rsidRPr="00FB6DDE" w:rsidRDefault="006463D9" w:rsidP="008E32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202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6</w:t>
            </w:r>
          </w:p>
        </w:tc>
        <w:tc>
          <w:tcPr>
            <w:tcW w:w="481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0BF955C" w14:textId="77777777" w:rsidR="006463D9" w:rsidRPr="00FB6DDE" w:rsidRDefault="006463D9" w:rsidP="008E32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202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7</w:t>
            </w:r>
          </w:p>
        </w:tc>
        <w:tc>
          <w:tcPr>
            <w:tcW w:w="48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0D1DAF8" w14:textId="77777777" w:rsidR="006463D9" w:rsidRPr="00FB6DDE" w:rsidRDefault="006463D9" w:rsidP="008E3209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FB6DDE"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202</w:t>
            </w:r>
            <w:r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eastAsia="pl-PL"/>
              </w:rPr>
              <w:t>8</w:t>
            </w:r>
          </w:p>
        </w:tc>
      </w:tr>
      <w:tr w:rsidR="006463D9" w:rsidRPr="00FB6DDE" w14:paraId="178FE8E0" w14:textId="77777777" w:rsidTr="006463D9">
        <w:trPr>
          <w:trHeight w:val="285"/>
        </w:trPr>
        <w:tc>
          <w:tcPr>
            <w:tcW w:w="11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AC73118" w14:textId="77777777" w:rsidR="006463D9" w:rsidRPr="00FB6DDE" w:rsidRDefault="006463D9" w:rsidP="003B5699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PKB – dynamika realna %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66B335A1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</w:t>
            </w: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6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41D43C3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</w:t>
            </w: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1BD3899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</w:t>
            </w: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313E98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</w:t>
            </w: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0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33B0E2F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</w:t>
            </w: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0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B9BE70F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102,9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FC0DF5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</w:t>
            </w: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02,8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EB02BE0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</w:t>
            </w: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8</w:t>
            </w:r>
          </w:p>
        </w:tc>
      </w:tr>
      <w:tr w:rsidR="006463D9" w:rsidRPr="00FB6DDE" w14:paraId="7DCFF8A9" w14:textId="77777777" w:rsidTr="006463D9">
        <w:trPr>
          <w:trHeight w:val="510"/>
        </w:trPr>
        <w:tc>
          <w:tcPr>
            <w:tcW w:w="11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6E58B35" w14:textId="77777777" w:rsidR="006463D9" w:rsidRPr="00FB6DDE" w:rsidRDefault="006463D9" w:rsidP="003B5699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CPI - dynamika średnioroczna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F1A1BB7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7A5FC72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5D26765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3D5808F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0B1B2E2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C286623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102,5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4E324FB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102,5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90E89F9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102,5</w:t>
            </w:r>
          </w:p>
        </w:tc>
      </w:tr>
      <w:tr w:rsidR="006463D9" w:rsidRPr="00FB6DDE" w14:paraId="72CA70E1" w14:textId="77777777" w:rsidTr="006463D9">
        <w:trPr>
          <w:trHeight w:val="765"/>
        </w:trPr>
        <w:tc>
          <w:tcPr>
            <w:tcW w:w="1154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E83581E" w14:textId="77777777" w:rsidR="006463D9" w:rsidRPr="00FB6DDE" w:rsidRDefault="006463D9" w:rsidP="003B5699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Dynamika realnego wynagrodzenia brutto w gospodarce narodowej - %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7FD83FF3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</w:t>
            </w:r>
            <w:r w:rsidR="00933151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2,9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261A514E" w14:textId="77777777" w:rsidR="006463D9" w:rsidRPr="00FB6DDE" w:rsidRDefault="00933151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102,9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AADD2E9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103,1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981099D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103,1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65AA520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103,1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7D9558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103,1</w:t>
            </w:r>
          </w:p>
        </w:tc>
        <w:tc>
          <w:tcPr>
            <w:tcW w:w="48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52D706D7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103,1</w:t>
            </w:r>
          </w:p>
        </w:tc>
        <w:tc>
          <w:tcPr>
            <w:tcW w:w="48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1E2E56F3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103,1</w:t>
            </w:r>
          </w:p>
        </w:tc>
      </w:tr>
      <w:tr w:rsidR="006463D9" w:rsidRPr="00FB6DDE" w14:paraId="688595A4" w14:textId="77777777" w:rsidTr="006463D9">
        <w:trPr>
          <w:trHeight w:val="525"/>
        </w:trPr>
        <w:tc>
          <w:tcPr>
            <w:tcW w:w="1154" w:type="pct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5B596850" w14:textId="77777777" w:rsidR="006463D9" w:rsidRPr="00FB6DDE" w:rsidRDefault="006463D9" w:rsidP="003B5699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FB6DDE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Stopa bezrobocia rejestrowanego - %</w:t>
            </w:r>
          </w:p>
        </w:tc>
        <w:tc>
          <w:tcPr>
            <w:tcW w:w="48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1003B994" w14:textId="77777777" w:rsidR="006463D9" w:rsidRPr="00FB6DDE" w:rsidRDefault="00933151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4,7</w:t>
            </w:r>
          </w:p>
        </w:tc>
        <w:tc>
          <w:tcPr>
            <w:tcW w:w="48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79F3278C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4,4</w:t>
            </w:r>
          </w:p>
        </w:tc>
        <w:tc>
          <w:tcPr>
            <w:tcW w:w="48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00411C53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4,4</w:t>
            </w:r>
          </w:p>
        </w:tc>
        <w:tc>
          <w:tcPr>
            <w:tcW w:w="48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5CE8565F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4,4</w:t>
            </w:r>
          </w:p>
        </w:tc>
        <w:tc>
          <w:tcPr>
            <w:tcW w:w="48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58465985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4,4</w:t>
            </w:r>
          </w:p>
        </w:tc>
        <w:tc>
          <w:tcPr>
            <w:tcW w:w="48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1DE537D5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4,4</w:t>
            </w:r>
          </w:p>
        </w:tc>
        <w:tc>
          <w:tcPr>
            <w:tcW w:w="481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7D9BAB29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4,4</w:t>
            </w:r>
          </w:p>
        </w:tc>
        <w:tc>
          <w:tcPr>
            <w:tcW w:w="480" w:type="pct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shd w:val="clear" w:color="auto" w:fill="auto"/>
            <w:hideMark/>
          </w:tcPr>
          <w:p w14:paraId="58023A5B" w14:textId="77777777" w:rsidR="006463D9" w:rsidRPr="00FB6DDE" w:rsidRDefault="006463D9" w:rsidP="003B5699">
            <w:pPr>
              <w:spacing w:after="0" w:line="240" w:lineRule="auto"/>
              <w:jc w:val="center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4,4</w:t>
            </w:r>
          </w:p>
        </w:tc>
      </w:tr>
    </w:tbl>
    <w:p w14:paraId="67CA9396" w14:textId="77777777" w:rsidR="004310C3" w:rsidRDefault="004310C3" w:rsidP="004310C3"/>
    <w:p w14:paraId="618CC79E" w14:textId="77777777" w:rsidR="00D87CC4" w:rsidRPr="00D87CC4" w:rsidRDefault="00D87CC4" w:rsidP="00985FD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Oprócz czynników makroekonomicznych, na poziom dochodów</w:t>
      </w:r>
      <w:r>
        <w:rPr>
          <w:rFonts w:cstheme="minorHAnsi"/>
          <w:sz w:val="24"/>
          <w:szCs w:val="24"/>
        </w:rPr>
        <w:t xml:space="preserve"> </w:t>
      </w:r>
      <w:r w:rsidRPr="00D87CC4">
        <w:rPr>
          <w:rFonts w:cstheme="minorHAnsi"/>
          <w:sz w:val="24"/>
          <w:szCs w:val="24"/>
        </w:rPr>
        <w:t>i wydatków znaczący wpływ będą miały zmiany systemowe, do których należy zaliczyć zmiany ustaw podatkowych oraz zmiany w ustawach określających zadania jednostek samorządu terytorialnego i źródła ich finansowania (m.in. ustawa o systemie oświaty, ustawa o pomocy społecznej, ustawa</w:t>
      </w:r>
      <w:r w:rsidR="00846F85">
        <w:rPr>
          <w:rFonts w:cstheme="minorHAnsi"/>
          <w:sz w:val="24"/>
          <w:szCs w:val="24"/>
        </w:rPr>
        <w:br/>
      </w:r>
      <w:r w:rsidRPr="00D87CC4">
        <w:rPr>
          <w:rFonts w:cstheme="minorHAnsi"/>
          <w:sz w:val="24"/>
          <w:szCs w:val="24"/>
        </w:rPr>
        <w:t>o utrzymaniu czystości i porządku w gminach).</w:t>
      </w:r>
    </w:p>
    <w:p w14:paraId="70D2E857" w14:textId="77777777" w:rsidR="00D87CC4" w:rsidRPr="00D87CC4" w:rsidRDefault="00D87CC4" w:rsidP="00985FD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ab/>
        <w:t>W 201</w:t>
      </w:r>
      <w:r w:rsidR="00933151">
        <w:rPr>
          <w:rFonts w:cstheme="minorHAnsi"/>
          <w:sz w:val="24"/>
          <w:szCs w:val="24"/>
        </w:rPr>
        <w:t>9</w:t>
      </w:r>
      <w:r w:rsidRPr="00D87CC4">
        <w:rPr>
          <w:rFonts w:cstheme="minorHAnsi"/>
          <w:sz w:val="24"/>
          <w:szCs w:val="24"/>
        </w:rPr>
        <w:t xml:space="preserve"> roku i w kolejnych latach objętych prognozą priorytetem polityki budżetowej Gminy Biesiekierz, tak jak w 201</w:t>
      </w:r>
      <w:r>
        <w:rPr>
          <w:rFonts w:cstheme="minorHAnsi"/>
          <w:sz w:val="24"/>
          <w:szCs w:val="24"/>
        </w:rPr>
        <w:t>6</w:t>
      </w:r>
      <w:r w:rsidRPr="00D87CC4">
        <w:rPr>
          <w:rFonts w:cstheme="minorHAnsi"/>
          <w:sz w:val="24"/>
          <w:szCs w:val="24"/>
        </w:rPr>
        <w:t xml:space="preserve"> i 201</w:t>
      </w:r>
      <w:r>
        <w:rPr>
          <w:rFonts w:cstheme="minorHAnsi"/>
          <w:sz w:val="24"/>
          <w:szCs w:val="24"/>
        </w:rPr>
        <w:t>7</w:t>
      </w:r>
      <w:r w:rsidRPr="00D87CC4">
        <w:rPr>
          <w:rFonts w:cstheme="minorHAnsi"/>
          <w:sz w:val="24"/>
          <w:szCs w:val="24"/>
        </w:rPr>
        <w:t xml:space="preserve"> roku, będzie wypracowanie nadwyżki operacyjnej jako różnicy między dochodami bieżącymi i wydatkami bieżącymi.</w:t>
      </w:r>
    </w:p>
    <w:p w14:paraId="662839AE" w14:textId="77777777" w:rsidR="00D87CC4" w:rsidRPr="00D87CC4" w:rsidRDefault="00D87CC4" w:rsidP="00985FD7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Reguła określona w art. 242 i 243 w/w ustawy ogranicza swobodę kształtowania wydatków bieżących.</w:t>
      </w:r>
      <w:r w:rsidR="00985FD7">
        <w:rPr>
          <w:rFonts w:cstheme="minorHAnsi"/>
          <w:sz w:val="24"/>
          <w:szCs w:val="24"/>
        </w:rPr>
        <w:t xml:space="preserve"> </w:t>
      </w:r>
      <w:r w:rsidRPr="00D87CC4">
        <w:rPr>
          <w:rFonts w:cstheme="minorHAnsi"/>
          <w:sz w:val="24"/>
          <w:szCs w:val="24"/>
        </w:rPr>
        <w:t>Wiąże się to z koniecznością zrównoważenia budżetu bieżącego. Zgodnie</w:t>
      </w:r>
      <w:r w:rsidRPr="00D87CC4">
        <w:rPr>
          <w:rFonts w:cstheme="minorHAnsi"/>
          <w:sz w:val="24"/>
          <w:szCs w:val="24"/>
        </w:rPr>
        <w:br/>
        <w:t>z ustawą o finansach publicznych, ani na etapie planowania, ani na etapie wykonania budżetu niedopuszczalna jest sytuacja, w której wysokość wydatków bieżących jest wyższa niż wysokość dochodów bieżących powiększona o nadwyżkę środków z rozliczenia lat ubiegłych. Ponadto mając na uwadze indywidualny wskaźnik limitujący możliwość zaciągania pożyczek i kredytów i pokrywania kosztów obsługi długu konieczne są działania zmierzające do wypracowania jak najwyższej nadwyżki operacyjnej, poprzez osiąganie wyższych dochodów bieżących</w:t>
      </w:r>
      <w:r>
        <w:rPr>
          <w:rFonts w:cstheme="minorHAnsi"/>
          <w:sz w:val="24"/>
          <w:szCs w:val="24"/>
        </w:rPr>
        <w:t xml:space="preserve"> </w:t>
      </w:r>
      <w:r w:rsidRPr="00D87CC4">
        <w:rPr>
          <w:rFonts w:cstheme="minorHAnsi"/>
          <w:sz w:val="24"/>
          <w:szCs w:val="24"/>
        </w:rPr>
        <w:t>i ograniczanie wydatków bieżących w kolejnych latach prognozy.</w:t>
      </w:r>
    </w:p>
    <w:p w14:paraId="3039AD97" w14:textId="77777777" w:rsidR="00985FD7" w:rsidRPr="00D87CC4" w:rsidRDefault="00D87CC4" w:rsidP="00933151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ab/>
      </w:r>
    </w:p>
    <w:p w14:paraId="2FC54A7B" w14:textId="77777777" w:rsidR="00D87CC4" w:rsidRPr="00F46626" w:rsidRDefault="00D87CC4" w:rsidP="00985FD7">
      <w:pPr>
        <w:pStyle w:val="Nagwek1"/>
        <w:spacing w:before="0" w:line="240" w:lineRule="auto"/>
        <w:rPr>
          <w:rFonts w:asciiTheme="minorHAnsi" w:hAnsiTheme="minorHAnsi" w:cstheme="minorHAnsi"/>
          <w:color w:val="000000" w:themeColor="text1"/>
          <w:sz w:val="24"/>
          <w:szCs w:val="24"/>
        </w:rPr>
      </w:pPr>
      <w:r w:rsidRPr="00F46626">
        <w:rPr>
          <w:rFonts w:asciiTheme="minorHAnsi" w:hAnsiTheme="minorHAnsi" w:cstheme="minorHAnsi"/>
          <w:color w:val="000000" w:themeColor="text1"/>
          <w:sz w:val="24"/>
          <w:szCs w:val="24"/>
        </w:rPr>
        <w:t>ZAŁOŻENIA W ZAKRESIE PROGNOZY DOCHODÓW I WYDATKÓW  GMINY BIESIEKIERZ</w:t>
      </w:r>
    </w:p>
    <w:p w14:paraId="3EC7153E" w14:textId="77777777" w:rsidR="00F46626" w:rsidRDefault="00F46626" w:rsidP="00985FD7">
      <w:pPr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7686CD14" w14:textId="77777777" w:rsidR="00985FD7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Ustalenie zmiany prognozowanych kwot dochodów nastąpiło</w:t>
      </w:r>
      <w:r>
        <w:rPr>
          <w:rFonts w:cstheme="minorHAnsi"/>
          <w:sz w:val="24"/>
          <w:szCs w:val="24"/>
        </w:rPr>
        <w:t xml:space="preserve"> </w:t>
      </w:r>
      <w:r w:rsidRPr="00D87CC4">
        <w:rPr>
          <w:rFonts w:cstheme="minorHAnsi"/>
          <w:sz w:val="24"/>
          <w:szCs w:val="24"/>
        </w:rPr>
        <w:t>w oparciu o:</w:t>
      </w:r>
      <w:r w:rsidR="00985FD7">
        <w:rPr>
          <w:rFonts w:cstheme="minorHAnsi"/>
          <w:sz w:val="24"/>
          <w:szCs w:val="24"/>
        </w:rPr>
        <w:t xml:space="preserve"> </w:t>
      </w:r>
    </w:p>
    <w:p w14:paraId="2C766523" w14:textId="77777777" w:rsidR="00D87CC4" w:rsidRPr="00D87CC4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- aktualne przepisy prawne, w tym m.in. ustawę o dochodach jednostek samorządu terytorialnego, ustawy podatkowe, ustawy określające zadania jednostek samorządu terytorialnego i źródła ich finansowania,</w:t>
      </w:r>
    </w:p>
    <w:p w14:paraId="5512C6B5" w14:textId="77777777" w:rsidR="00D87CC4" w:rsidRPr="00D87CC4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- zakres działań Gminy Biesiekierz wynikający z obowiązujących ustaw,</w:t>
      </w:r>
    </w:p>
    <w:p w14:paraId="4C5DE32C" w14:textId="77777777" w:rsidR="00D87CC4" w:rsidRPr="00D87CC4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- wskaźniki makroekonomiczne opublikowane przez Ministerstwo Finansów,</w:t>
      </w:r>
    </w:p>
    <w:p w14:paraId="48E0EB85" w14:textId="77777777" w:rsidR="00D87CC4" w:rsidRPr="00D87CC4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- zawarte umowy o dofinansowanie zadań z budżetu środków europejskich lub innych źródeł zewnętrznych ,</w:t>
      </w:r>
    </w:p>
    <w:p w14:paraId="77B833AA" w14:textId="77777777" w:rsidR="00D87CC4" w:rsidRPr="00D87CC4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- analizę wykonania dochodów w latach 201</w:t>
      </w:r>
      <w:r w:rsidR="00933151">
        <w:rPr>
          <w:rFonts w:cstheme="minorHAnsi"/>
          <w:sz w:val="24"/>
          <w:szCs w:val="24"/>
        </w:rPr>
        <w:t>6</w:t>
      </w:r>
      <w:r w:rsidRPr="00D87CC4">
        <w:rPr>
          <w:rFonts w:cstheme="minorHAnsi"/>
          <w:sz w:val="24"/>
          <w:szCs w:val="24"/>
        </w:rPr>
        <w:t>-201</w:t>
      </w:r>
      <w:r w:rsidR="00933151">
        <w:rPr>
          <w:rFonts w:cstheme="minorHAnsi"/>
          <w:sz w:val="24"/>
          <w:szCs w:val="24"/>
        </w:rPr>
        <w:t>7</w:t>
      </w:r>
      <w:r w:rsidRPr="00D87CC4">
        <w:rPr>
          <w:rFonts w:cstheme="minorHAnsi"/>
          <w:sz w:val="24"/>
          <w:szCs w:val="24"/>
        </w:rPr>
        <w:t xml:space="preserve"> i wykonania za</w:t>
      </w:r>
      <w:r>
        <w:rPr>
          <w:rFonts w:cstheme="minorHAnsi"/>
          <w:sz w:val="24"/>
          <w:szCs w:val="24"/>
        </w:rPr>
        <w:t xml:space="preserve"> </w:t>
      </w:r>
      <w:r w:rsidR="00933151">
        <w:rPr>
          <w:rFonts w:cstheme="minorHAnsi"/>
          <w:sz w:val="24"/>
          <w:szCs w:val="24"/>
        </w:rPr>
        <w:t>8</w:t>
      </w:r>
      <w:r w:rsidRPr="00D87CC4">
        <w:rPr>
          <w:rFonts w:cstheme="minorHAnsi"/>
          <w:sz w:val="24"/>
          <w:szCs w:val="24"/>
        </w:rPr>
        <w:t xml:space="preserve"> miesięcy w 20</w:t>
      </w:r>
      <w:r w:rsidR="00933151">
        <w:rPr>
          <w:rFonts w:cstheme="minorHAnsi"/>
          <w:sz w:val="24"/>
          <w:szCs w:val="24"/>
        </w:rPr>
        <w:t>18</w:t>
      </w:r>
      <w:r w:rsidRPr="00D87CC4">
        <w:rPr>
          <w:rFonts w:cstheme="minorHAnsi"/>
          <w:sz w:val="24"/>
          <w:szCs w:val="24"/>
        </w:rPr>
        <w:t xml:space="preserve">r., </w:t>
      </w:r>
    </w:p>
    <w:p w14:paraId="70A3059A" w14:textId="77777777" w:rsidR="00D87CC4" w:rsidRPr="00D87CC4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 xml:space="preserve">- założenia dot. polityki </w:t>
      </w:r>
      <w:r>
        <w:rPr>
          <w:rFonts w:cstheme="minorHAnsi"/>
          <w:sz w:val="24"/>
          <w:szCs w:val="24"/>
        </w:rPr>
        <w:t>g</w:t>
      </w:r>
      <w:r w:rsidRPr="00D87CC4">
        <w:rPr>
          <w:rFonts w:cstheme="minorHAnsi"/>
          <w:sz w:val="24"/>
          <w:szCs w:val="24"/>
        </w:rPr>
        <w:t>miny w zakresie kształtowania stawek podatków i opłat lokalnych</w:t>
      </w:r>
      <w:r>
        <w:rPr>
          <w:rFonts w:cstheme="minorHAnsi"/>
          <w:sz w:val="24"/>
          <w:szCs w:val="24"/>
        </w:rPr>
        <w:t xml:space="preserve"> (wzrost podatku od nieruchomości o 1,</w:t>
      </w:r>
      <w:r w:rsidR="00933151">
        <w:rPr>
          <w:rFonts w:cstheme="minorHAnsi"/>
          <w:sz w:val="24"/>
          <w:szCs w:val="24"/>
        </w:rPr>
        <w:t>67</w:t>
      </w:r>
      <w:r>
        <w:rPr>
          <w:rFonts w:cstheme="minorHAnsi"/>
          <w:sz w:val="24"/>
          <w:szCs w:val="24"/>
        </w:rPr>
        <w:t>%</w:t>
      </w:r>
      <w:r w:rsidRPr="00D87CC4">
        <w:rPr>
          <w:rFonts w:cstheme="minorHAnsi"/>
          <w:sz w:val="24"/>
          <w:szCs w:val="24"/>
        </w:rPr>
        <w:t>,</w:t>
      </w:r>
      <w:r>
        <w:rPr>
          <w:rFonts w:cstheme="minorHAnsi"/>
          <w:sz w:val="24"/>
          <w:szCs w:val="24"/>
        </w:rPr>
        <w:t xml:space="preserve"> </w:t>
      </w:r>
      <w:r w:rsidR="00933151">
        <w:rPr>
          <w:rFonts w:cstheme="minorHAnsi"/>
          <w:sz w:val="24"/>
          <w:szCs w:val="24"/>
        </w:rPr>
        <w:t>podatku od środków transportu o 5%</w:t>
      </w:r>
      <w:r>
        <w:rPr>
          <w:rFonts w:cstheme="minorHAnsi"/>
          <w:sz w:val="24"/>
          <w:szCs w:val="24"/>
        </w:rPr>
        <w:t>),</w:t>
      </w:r>
    </w:p>
    <w:p w14:paraId="391AE719" w14:textId="77777777" w:rsidR="00D87CC4" w:rsidRPr="00D87CC4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lastRenderedPageBreak/>
        <w:t>- założenia dot. polityki cenowej w stosunku do cen usług komunalnych.</w:t>
      </w:r>
    </w:p>
    <w:p w14:paraId="58207130" w14:textId="77777777" w:rsidR="00FB6DDE" w:rsidRPr="00D87CC4" w:rsidRDefault="00D87CC4" w:rsidP="00DD2946">
      <w:pPr>
        <w:spacing w:after="0" w:line="240" w:lineRule="auto"/>
        <w:jc w:val="both"/>
        <w:rPr>
          <w:rFonts w:cstheme="minorHAnsi"/>
          <w:sz w:val="24"/>
          <w:szCs w:val="24"/>
        </w:rPr>
      </w:pPr>
      <w:r w:rsidRPr="00D87CC4">
        <w:rPr>
          <w:rFonts w:cstheme="minorHAnsi"/>
          <w:sz w:val="24"/>
          <w:szCs w:val="24"/>
        </w:rPr>
        <w:t>Tabela nr 3 przedstawia dynamikę poszczególnych pozycji dochodów</w:t>
      </w:r>
      <w:r>
        <w:rPr>
          <w:rFonts w:cstheme="minorHAnsi"/>
          <w:sz w:val="24"/>
          <w:szCs w:val="24"/>
        </w:rPr>
        <w:t xml:space="preserve"> </w:t>
      </w:r>
      <w:r w:rsidRPr="00D87CC4">
        <w:rPr>
          <w:rFonts w:cstheme="minorHAnsi"/>
          <w:sz w:val="24"/>
          <w:szCs w:val="24"/>
        </w:rPr>
        <w:t>i wydatków w latach 201</w:t>
      </w:r>
      <w:r w:rsidR="000755A5">
        <w:rPr>
          <w:rFonts w:cstheme="minorHAnsi"/>
          <w:sz w:val="24"/>
          <w:szCs w:val="24"/>
        </w:rPr>
        <w:t>5</w:t>
      </w:r>
      <w:r w:rsidRPr="00D87CC4">
        <w:rPr>
          <w:rFonts w:cstheme="minorHAnsi"/>
          <w:sz w:val="24"/>
          <w:szCs w:val="24"/>
        </w:rPr>
        <w:t xml:space="preserve"> -201</w:t>
      </w:r>
      <w:r w:rsidR="00933151">
        <w:rPr>
          <w:rFonts w:cstheme="minorHAnsi"/>
          <w:sz w:val="24"/>
          <w:szCs w:val="24"/>
        </w:rPr>
        <w:t>9</w:t>
      </w:r>
      <w:r w:rsidRPr="00D87CC4">
        <w:rPr>
          <w:rFonts w:cstheme="minorHAnsi"/>
          <w:sz w:val="24"/>
          <w:szCs w:val="24"/>
        </w:rPr>
        <w:t>.</w:t>
      </w:r>
    </w:p>
    <w:p w14:paraId="6FA326BC" w14:textId="77777777" w:rsidR="003B5699" w:rsidRDefault="003B5699" w:rsidP="00DD2946">
      <w:pPr>
        <w:pStyle w:val="Legenda"/>
        <w:rPr>
          <w:rFonts w:cstheme="minorHAnsi"/>
          <w:color w:val="auto"/>
          <w:sz w:val="22"/>
          <w:szCs w:val="22"/>
        </w:rPr>
      </w:pPr>
      <w:r w:rsidRPr="008905DD">
        <w:rPr>
          <w:rFonts w:cstheme="minorHAnsi"/>
          <w:color w:val="auto"/>
          <w:sz w:val="22"/>
          <w:szCs w:val="22"/>
        </w:rPr>
        <w:t>Tabela 3. Wskaźnik dynamiki dochodów i wydatków w latach 201</w:t>
      </w:r>
      <w:r w:rsidR="00056D41">
        <w:rPr>
          <w:rFonts w:cstheme="minorHAnsi"/>
          <w:color w:val="auto"/>
          <w:sz w:val="22"/>
          <w:szCs w:val="22"/>
        </w:rPr>
        <w:t>5</w:t>
      </w:r>
      <w:r w:rsidRPr="008905DD">
        <w:rPr>
          <w:rFonts w:cstheme="minorHAnsi"/>
          <w:color w:val="auto"/>
          <w:sz w:val="22"/>
          <w:szCs w:val="22"/>
        </w:rPr>
        <w:t>- 201</w:t>
      </w:r>
      <w:r w:rsidR="00933151">
        <w:rPr>
          <w:rFonts w:cstheme="minorHAnsi"/>
          <w:color w:val="auto"/>
          <w:sz w:val="22"/>
          <w:szCs w:val="22"/>
        </w:rPr>
        <w:t>9</w:t>
      </w:r>
      <w:r w:rsidRPr="008905DD">
        <w:rPr>
          <w:rFonts w:cstheme="minorHAnsi"/>
          <w:color w:val="auto"/>
          <w:sz w:val="22"/>
          <w:szCs w:val="22"/>
        </w:rPr>
        <w:t>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21"/>
        <w:gridCol w:w="1277"/>
        <w:gridCol w:w="1417"/>
        <w:gridCol w:w="1275"/>
        <w:gridCol w:w="1277"/>
        <w:gridCol w:w="1345"/>
      </w:tblGrid>
      <w:tr w:rsidR="00056D41" w:rsidRPr="00056D41" w14:paraId="3886B54C" w14:textId="77777777" w:rsidTr="00056D41">
        <w:trPr>
          <w:trHeight w:val="375"/>
          <w:tblHeader/>
        </w:trPr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76933C"/>
            <w:noWrap/>
            <w:vAlign w:val="center"/>
            <w:hideMark/>
          </w:tcPr>
          <w:p w14:paraId="6111F481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pl-PL"/>
              </w:rPr>
              <w:t>Wyszczególnienie</w:t>
            </w:r>
          </w:p>
        </w:tc>
        <w:tc>
          <w:tcPr>
            <w:tcW w:w="6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76933C"/>
            <w:noWrap/>
            <w:vAlign w:val="center"/>
            <w:hideMark/>
          </w:tcPr>
          <w:p w14:paraId="08DDDC99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pl-PL"/>
              </w:rPr>
              <w:t>2015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76933C"/>
            <w:noWrap/>
            <w:vAlign w:val="center"/>
            <w:hideMark/>
          </w:tcPr>
          <w:p w14:paraId="426483FE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pl-PL"/>
              </w:rPr>
              <w:t>2016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76933C"/>
            <w:noWrap/>
            <w:vAlign w:val="center"/>
            <w:hideMark/>
          </w:tcPr>
          <w:p w14:paraId="252879C5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FFFF"/>
                <w:sz w:val="18"/>
                <w:szCs w:val="18"/>
                <w:lang w:eastAsia="pl-PL"/>
              </w:rPr>
              <w:t>2017</w:t>
            </w:r>
          </w:p>
        </w:tc>
        <w:tc>
          <w:tcPr>
            <w:tcW w:w="6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76933C"/>
            <w:noWrap/>
            <w:vAlign w:val="center"/>
            <w:hideMark/>
          </w:tcPr>
          <w:p w14:paraId="1CD453E2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FFFF"/>
                <w:sz w:val="18"/>
                <w:szCs w:val="18"/>
                <w:lang w:eastAsia="pl-PL"/>
              </w:rPr>
              <w:t>2018 PLAN</w:t>
            </w:r>
          </w:p>
        </w:tc>
        <w:tc>
          <w:tcPr>
            <w:tcW w:w="7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76933C"/>
            <w:noWrap/>
            <w:vAlign w:val="center"/>
            <w:hideMark/>
          </w:tcPr>
          <w:p w14:paraId="18A2CC5C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FFFF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FFFF"/>
                <w:sz w:val="18"/>
                <w:szCs w:val="18"/>
                <w:lang w:eastAsia="pl-PL"/>
              </w:rPr>
              <w:t>2019 PLAN</w:t>
            </w:r>
          </w:p>
        </w:tc>
      </w:tr>
      <w:tr w:rsidR="00056D41" w:rsidRPr="00056D41" w14:paraId="6F5EB420" w14:textId="77777777" w:rsidTr="00056D41">
        <w:trPr>
          <w:trHeight w:val="28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2E5F037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>Dochody ogółem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D2C0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 xml:space="preserve">25 035 094,77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CEA4F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000000"/>
                <w:sz w:val="18"/>
                <w:szCs w:val="18"/>
                <w:lang w:eastAsia="pl-PL"/>
              </w:rPr>
              <w:t xml:space="preserve">30 489 577,67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9A855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34 528 970,64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9777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36 604 249,16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69513E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38 605 180,48 </w:t>
            </w:r>
          </w:p>
        </w:tc>
      </w:tr>
      <w:tr w:rsidR="00056D41" w:rsidRPr="00056D41" w14:paraId="7D38A64E" w14:textId="77777777" w:rsidTr="00056D41">
        <w:trPr>
          <w:trHeight w:val="24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1F313287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D6C251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4,04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8D8624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21,79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03E7BE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13,25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825405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6,01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8220C2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5,47 </w:t>
            </w:r>
          </w:p>
        </w:tc>
      </w:tr>
      <w:tr w:rsidR="00056D41" w:rsidRPr="00056D41" w14:paraId="0C3F4100" w14:textId="77777777" w:rsidTr="00056D41">
        <w:trPr>
          <w:trHeight w:val="28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150E764" w14:textId="77777777" w:rsidR="00056D41" w:rsidRPr="00056D41" w:rsidRDefault="00056D41" w:rsidP="00056D41">
            <w:pPr>
              <w:spacing w:after="0" w:line="240" w:lineRule="auto"/>
              <w:ind w:firstLineChars="100" w:firstLine="18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Dochody bieżące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98DE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24 472 995,63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5638C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29 307 040,79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CC14E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32 757 401,93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4B8AE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32 335 518,66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1C5D96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33 145 580,62 </w:t>
            </w:r>
          </w:p>
        </w:tc>
      </w:tr>
      <w:tr w:rsidR="00056D41" w:rsidRPr="00056D41" w14:paraId="34712F25" w14:textId="77777777" w:rsidTr="00056D41">
        <w:trPr>
          <w:trHeight w:val="39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71AD59FD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262399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5,81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D4756DA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19,75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4DBC79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11,77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E855A0E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-1,29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CDC8F4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2,51 </w:t>
            </w:r>
          </w:p>
        </w:tc>
      </w:tr>
      <w:tr w:rsidR="00056D41" w:rsidRPr="00056D41" w14:paraId="26DD1A43" w14:textId="77777777" w:rsidTr="00056D41">
        <w:trPr>
          <w:trHeight w:val="869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2A79A0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dochody z tytułu udziału we wpływach z podatku dochodowego od osób fizycznych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88F17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5 464 787,00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5977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6 227 716,00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AF78B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7 269 765,00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B77DFE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7 188 279,00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694DD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9 280 111,00 </w:t>
            </w:r>
          </w:p>
        </w:tc>
      </w:tr>
      <w:tr w:rsidR="00056D41" w:rsidRPr="00056D41" w14:paraId="6462FC04" w14:textId="77777777" w:rsidTr="00056D41">
        <w:trPr>
          <w:trHeight w:val="272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0B45434D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B3394F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15,74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4E6F08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13,96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AA6E77A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16,73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00B0B2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-1,12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2B7130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29,10 </w:t>
            </w:r>
          </w:p>
        </w:tc>
      </w:tr>
      <w:tr w:rsidR="00056D41" w:rsidRPr="00056D41" w14:paraId="6BA888DB" w14:textId="77777777" w:rsidTr="00056D41">
        <w:trPr>
          <w:trHeight w:val="823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B0FED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dochody z tytułu udziału we wpływach z podatku dochodowego od osób prawnych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4ED53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63 436,20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56317D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101 415,05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B55D1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145 480,04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C0ABD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20 000,00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8D66A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20 000,00 </w:t>
            </w:r>
          </w:p>
        </w:tc>
      </w:tr>
      <w:tr w:rsidR="00056D41" w:rsidRPr="00056D41" w14:paraId="2740DF7A" w14:textId="77777777" w:rsidTr="00056D41">
        <w:trPr>
          <w:trHeight w:val="37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3B97387D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35EE1D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140,86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A0B959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59,87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97634B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43,45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6D23F0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-86,25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AC8DFDD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0,00 </w:t>
            </w:r>
          </w:p>
        </w:tc>
      </w:tr>
      <w:tr w:rsidR="00056D41" w:rsidRPr="00056D41" w14:paraId="1E2B6668" w14:textId="77777777" w:rsidTr="00056D41">
        <w:trPr>
          <w:trHeight w:val="28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ECA1C04" w14:textId="77777777" w:rsidR="00056D41" w:rsidRPr="00056D41" w:rsidRDefault="00056D41" w:rsidP="00056D41">
            <w:pPr>
              <w:spacing w:after="0" w:line="240" w:lineRule="auto"/>
              <w:ind w:firstLineChars="200" w:firstLine="36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podatki i opłaty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A1B75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8 812 724,77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03886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10 346 956,93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94C4AA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11 143 413,74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9812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10 806 075,35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EC9560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10 731 433,00 </w:t>
            </w:r>
          </w:p>
        </w:tc>
      </w:tr>
      <w:tr w:rsidR="00056D41" w:rsidRPr="00056D41" w14:paraId="3B6FD899" w14:textId="77777777" w:rsidTr="00056D41">
        <w:trPr>
          <w:trHeight w:val="394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02047828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08237E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0,07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EA65FB3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17,41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FB21FE6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7,70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F7EAB5D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-3,03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980C0C3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-0,69 </w:t>
            </w:r>
          </w:p>
        </w:tc>
      </w:tr>
      <w:tr w:rsidR="00056D41" w:rsidRPr="00056D41" w14:paraId="1AF6849B" w14:textId="77777777" w:rsidTr="00056D41">
        <w:trPr>
          <w:trHeight w:val="468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544AA" w14:textId="77777777" w:rsidR="00056D41" w:rsidRPr="00056D41" w:rsidRDefault="00056D41" w:rsidP="00056D41">
            <w:pPr>
              <w:spacing w:after="0" w:line="240" w:lineRule="auto"/>
              <w:ind w:firstLineChars="300" w:firstLine="54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 z podatku od nieruchomości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B81AD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6 344 360,90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B090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7 616 440,45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C5C6E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8 385 781,01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6C6DB3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8 200 728,35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B94770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7 922 756,00 </w:t>
            </w:r>
          </w:p>
        </w:tc>
      </w:tr>
      <w:tr w:rsidR="00056D41" w:rsidRPr="00056D41" w14:paraId="58F29DE4" w14:textId="77777777" w:rsidTr="00056D41">
        <w:trPr>
          <w:trHeight w:val="417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7E49FDF4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7A07D10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-1,00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2EABFBA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20,05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2CA389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10,10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2E9893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-2,21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440E73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-3,39 </w:t>
            </w:r>
          </w:p>
        </w:tc>
      </w:tr>
      <w:tr w:rsidR="00056D41" w:rsidRPr="00056D41" w14:paraId="5BC69E00" w14:textId="77777777" w:rsidTr="00056D41">
        <w:trPr>
          <w:trHeight w:val="28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A0292A" w14:textId="77777777" w:rsidR="00056D41" w:rsidRPr="00056D41" w:rsidRDefault="00056D41" w:rsidP="00056D41">
            <w:pPr>
              <w:spacing w:after="0" w:line="240" w:lineRule="auto"/>
              <w:ind w:firstLineChars="200" w:firstLine="36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z subwencji ogólnej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581B5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5 345 950,00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D551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5 208 109,00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55F23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5 303 857,00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A6E9D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5 360 731,00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B26B2E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5 646 092,00 </w:t>
            </w:r>
          </w:p>
        </w:tc>
      </w:tr>
      <w:tr w:rsidR="00056D41" w:rsidRPr="00056D41" w14:paraId="505881E1" w14:textId="77777777" w:rsidTr="00056D41">
        <w:trPr>
          <w:trHeight w:val="40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6DA83B1E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9F0D4E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4,25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72558A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-2,58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EC695E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1,84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37157D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1,07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E44CC26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5,32 </w:t>
            </w:r>
          </w:p>
        </w:tc>
      </w:tr>
      <w:tr w:rsidR="00056D41" w:rsidRPr="00056D41" w14:paraId="4C363F11" w14:textId="77777777" w:rsidTr="00056D41">
        <w:trPr>
          <w:trHeight w:val="548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7B77CA" w14:textId="77777777" w:rsidR="00056D41" w:rsidRPr="00056D41" w:rsidRDefault="00056D41" w:rsidP="00056D41">
            <w:pPr>
              <w:spacing w:after="0" w:line="240" w:lineRule="auto"/>
              <w:ind w:firstLineChars="200" w:firstLine="36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z tytułu dotacji i środków przeznaczonych na cele bieżące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AF858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4 786 097,66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283B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7 422 843,81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36D4E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8 894 886,15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505CE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8 960 433,31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DC79B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7 467 944,62 </w:t>
            </w:r>
          </w:p>
        </w:tc>
      </w:tr>
      <w:tr w:rsidR="00056D41" w:rsidRPr="00056D41" w14:paraId="4AC11F4A" w14:textId="77777777" w:rsidTr="00056D41">
        <w:trPr>
          <w:trHeight w:val="288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581E43FE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C2358C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7,63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3121E5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55,09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922CB1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19,83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6D6293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0,74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0F8FAF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-16,66 </w:t>
            </w:r>
          </w:p>
        </w:tc>
      </w:tr>
      <w:tr w:rsidR="00056D41" w:rsidRPr="00056D41" w14:paraId="4938C6BB" w14:textId="77777777" w:rsidTr="00056D41">
        <w:trPr>
          <w:trHeight w:val="42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DA24E2" w14:textId="77777777" w:rsidR="00056D41" w:rsidRPr="00056D41" w:rsidRDefault="00056D41" w:rsidP="00056D41">
            <w:pPr>
              <w:spacing w:after="0" w:line="240" w:lineRule="auto"/>
              <w:ind w:firstLineChars="100" w:firstLine="18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Dochody majątkowe, w tym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C5EB7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562 099,14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7D7C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1 182 536,88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4DBE1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1 771 568,71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8164A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4 268 730,50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FF3C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5 459 599,86 </w:t>
            </w:r>
          </w:p>
        </w:tc>
      </w:tr>
      <w:tr w:rsidR="00056D41" w:rsidRPr="00056D41" w14:paraId="228EEC32" w14:textId="77777777" w:rsidTr="00056D41">
        <w:trPr>
          <w:trHeight w:val="41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222CC3E2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A6387AD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-39,79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758B1C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110,38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0A895B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49,81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E83EAA3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140,96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5CD5DA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27,90 </w:t>
            </w:r>
          </w:p>
        </w:tc>
      </w:tr>
      <w:tr w:rsidR="00056D41" w:rsidRPr="00056D41" w14:paraId="3D7260A2" w14:textId="77777777" w:rsidTr="00056D41">
        <w:trPr>
          <w:trHeight w:val="41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007FECC" w14:textId="77777777" w:rsidR="00056D41" w:rsidRPr="00056D41" w:rsidRDefault="00056D41" w:rsidP="00056D41">
            <w:pPr>
              <w:spacing w:after="0" w:line="240" w:lineRule="auto"/>
              <w:ind w:firstLineChars="200" w:firstLine="36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ze sprzedaży majątku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C6C0A3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70 515,00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D8EF9A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919 536,99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CBE3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216 862,69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CAF51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150 000,00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93F6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100 000,00 </w:t>
            </w:r>
          </w:p>
        </w:tc>
      </w:tr>
      <w:tr w:rsidR="00056D41" w:rsidRPr="00056D41" w14:paraId="46C35612" w14:textId="77777777" w:rsidTr="00056D41">
        <w:trPr>
          <w:trHeight w:val="42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67F1F73F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8A7284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-2,92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FC0A69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1 204,03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CC50D83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-76,42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EA415B6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-30,83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7E1A6A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-33,33 </w:t>
            </w:r>
          </w:p>
        </w:tc>
      </w:tr>
      <w:tr w:rsidR="00056D41" w:rsidRPr="00056D41" w14:paraId="34E82D5C" w14:textId="77777777" w:rsidTr="00056D41">
        <w:trPr>
          <w:trHeight w:val="697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C9BE9D" w14:textId="77777777" w:rsidR="00056D41" w:rsidRPr="00056D41" w:rsidRDefault="00056D41" w:rsidP="00056D41">
            <w:pPr>
              <w:spacing w:after="0" w:line="240" w:lineRule="auto"/>
              <w:ind w:firstLineChars="200" w:firstLine="360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  z tytułu dotacji oraz środków przeznaczonych na inwestycje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A2713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3 946,14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DE1F33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  <w:t xml:space="preserve">262 999,89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5FC7A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1 554 706,02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7B7A0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4 118 730,50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5645D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5 359 599,86 </w:t>
            </w:r>
          </w:p>
        </w:tc>
      </w:tr>
      <w:tr w:rsidR="00056D41" w:rsidRPr="00056D41" w14:paraId="5B9375DD" w14:textId="77777777" w:rsidTr="00056D41">
        <w:trPr>
          <w:trHeight w:val="51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4A20F9A3" w14:textId="77777777" w:rsidR="00056D41" w:rsidRPr="00056D41" w:rsidRDefault="00056D41" w:rsidP="00056D41">
            <w:pPr>
              <w:spacing w:after="0" w:line="240" w:lineRule="auto"/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Calibri" w:eastAsia="Times New Roman" w:hAnsi="Calibri" w:cs="Calibri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E15CC8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-99,45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5549A4E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Calibri" w:eastAsia="Times New Roman" w:hAnsi="Calibri" w:cs="Calibri"/>
                <w:b/>
                <w:bCs/>
                <w:color w:val="FF0000"/>
                <w:sz w:val="18"/>
                <w:szCs w:val="18"/>
                <w:lang w:eastAsia="pl-PL"/>
              </w:rPr>
              <w:t xml:space="preserve">6 564,74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9B089F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491,14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4A9843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164,92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642611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30,13 </w:t>
            </w:r>
          </w:p>
        </w:tc>
      </w:tr>
      <w:tr w:rsidR="00056D41" w:rsidRPr="00056D41" w14:paraId="47DB0BC7" w14:textId="77777777" w:rsidTr="00056D41">
        <w:trPr>
          <w:trHeight w:val="285"/>
        </w:trPr>
        <w:tc>
          <w:tcPr>
            <w:tcW w:w="142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31D763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</w:p>
        </w:tc>
        <w:tc>
          <w:tcPr>
            <w:tcW w:w="6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4C7757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769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8B2542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692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216152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693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9F4281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  <w:tc>
          <w:tcPr>
            <w:tcW w:w="730" w:type="pct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C74627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</w:p>
        </w:tc>
      </w:tr>
      <w:tr w:rsidR="00056D41" w:rsidRPr="00056D41" w14:paraId="74887438" w14:textId="77777777" w:rsidTr="00056D41">
        <w:trPr>
          <w:trHeight w:val="465"/>
        </w:trPr>
        <w:tc>
          <w:tcPr>
            <w:tcW w:w="14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FA151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Wydatki ogółem</w:t>
            </w:r>
          </w:p>
        </w:tc>
        <w:tc>
          <w:tcPr>
            <w:tcW w:w="6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BC79F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22 928 696,45 </w:t>
            </w:r>
          </w:p>
        </w:tc>
        <w:tc>
          <w:tcPr>
            <w:tcW w:w="76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9FD4E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26 689 941,68 </w:t>
            </w:r>
          </w:p>
        </w:tc>
        <w:tc>
          <w:tcPr>
            <w:tcW w:w="6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B718B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27 726 196,27 </w:t>
            </w:r>
          </w:p>
        </w:tc>
        <w:tc>
          <w:tcPr>
            <w:tcW w:w="69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3B7E3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43 803 951,10 </w:t>
            </w:r>
          </w:p>
        </w:tc>
        <w:tc>
          <w:tcPr>
            <w:tcW w:w="7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64FE9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43 542 823,50 </w:t>
            </w:r>
          </w:p>
        </w:tc>
      </w:tr>
      <w:tr w:rsidR="00056D41" w:rsidRPr="00056D41" w14:paraId="400CE394" w14:textId="77777777" w:rsidTr="00056D41">
        <w:trPr>
          <w:trHeight w:val="388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31DF8879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78354C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-4,13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45974A6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16,40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6DCC9E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3,88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F3AE60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57,99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1979A7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-0,60 </w:t>
            </w:r>
          </w:p>
        </w:tc>
      </w:tr>
      <w:tr w:rsidR="00056D41" w:rsidRPr="00056D41" w14:paraId="34E7A75B" w14:textId="77777777" w:rsidTr="00056D41">
        <w:trPr>
          <w:trHeight w:val="33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9836847" w14:textId="77777777" w:rsidR="00056D41" w:rsidRPr="00056D41" w:rsidRDefault="00056D41" w:rsidP="00056D4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 Wydatki bieżące, w tym: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44388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21 790 980,79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39202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23 169 192,48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3703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25 125 234,22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44544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31 230 083,20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621C6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30 979 946,50 </w:t>
            </w:r>
          </w:p>
        </w:tc>
      </w:tr>
      <w:tr w:rsidR="00056D41" w:rsidRPr="00056D41" w14:paraId="63ECF121" w14:textId="77777777" w:rsidTr="00056D41">
        <w:trPr>
          <w:trHeight w:val="49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360C1A09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94FAC2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2,12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08C28B0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6,32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C01BD9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8,44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9D2C83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24,30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657733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-0,80 </w:t>
            </w:r>
          </w:p>
        </w:tc>
      </w:tr>
      <w:tr w:rsidR="00056D41" w:rsidRPr="00056D41" w14:paraId="5038321D" w14:textId="77777777" w:rsidTr="00056D41">
        <w:trPr>
          <w:trHeight w:val="48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3EB7680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  z tytułu poręczeń i gwarancji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2DDB7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99C0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3A80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8245E6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306 080,00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C0603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296 507,00 </w:t>
            </w:r>
          </w:p>
        </w:tc>
      </w:tr>
      <w:tr w:rsidR="00056D41" w:rsidRPr="00056D41" w14:paraId="5CA4D5CE" w14:textId="77777777" w:rsidTr="00056D41">
        <w:trPr>
          <w:trHeight w:val="39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16E76059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lastRenderedPageBreak/>
              <w:t xml:space="preserve">dynamika - rok </w:t>
            </w:r>
            <w:proofErr w:type="spellStart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567F9B1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0E2E074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AC9A438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4ADEFA2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FCED3EC" w14:textId="77777777" w:rsidR="00056D41" w:rsidRPr="00056D41" w:rsidRDefault="00056D41" w:rsidP="00056D4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>x</w:t>
            </w:r>
          </w:p>
        </w:tc>
      </w:tr>
      <w:tr w:rsidR="00056D41" w:rsidRPr="00056D41" w14:paraId="5A7EA455" w14:textId="77777777" w:rsidTr="00056D41">
        <w:trPr>
          <w:trHeight w:val="48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AB2E35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  wydatki na obsługę długu, w tym: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18701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150 945,95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90C4B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150 596,00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8BB8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197 570,00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9F630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274 000,00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A7629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226 622,00 </w:t>
            </w:r>
          </w:p>
        </w:tc>
      </w:tr>
      <w:tr w:rsidR="00056D41" w:rsidRPr="00056D41" w14:paraId="1E0F9378" w14:textId="77777777" w:rsidTr="00056D41">
        <w:trPr>
          <w:trHeight w:val="266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47732A6B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82F270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-44,32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3F947C8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-0,23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D43906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31,19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406D97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38,69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5D095C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-17,29 </w:t>
            </w:r>
          </w:p>
        </w:tc>
      </w:tr>
      <w:tr w:rsidR="00056D41" w:rsidRPr="00056D41" w14:paraId="04897EA7" w14:textId="77777777" w:rsidTr="00056D41">
        <w:trPr>
          <w:trHeight w:val="593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6992CB2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   odsetki i dyskonto określone w art. 243 ust. 1 ustawy, w tym: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49B2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150 945,95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D115FD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140 796,00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5573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197 570,00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2EA2D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264 000,00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29896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221 622,00 </w:t>
            </w:r>
          </w:p>
        </w:tc>
      </w:tr>
      <w:tr w:rsidR="00056D41" w:rsidRPr="00056D41" w14:paraId="02858F81" w14:textId="77777777" w:rsidTr="00056D41">
        <w:trPr>
          <w:trHeight w:val="296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29CC89BC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6CCCC90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-44,32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9D06CEF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-6,72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BEFBE46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40,32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7637F2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33,62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F11375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-16,05 </w:t>
            </w:r>
          </w:p>
        </w:tc>
      </w:tr>
      <w:tr w:rsidR="00056D41" w:rsidRPr="00056D41" w14:paraId="4D388AB7" w14:textId="77777777" w:rsidTr="00056D41">
        <w:trPr>
          <w:trHeight w:val="28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DEFBA3" w14:textId="77777777" w:rsidR="00056D41" w:rsidRPr="00056D41" w:rsidRDefault="00056D41" w:rsidP="00056D4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 Wydatki majątkowe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6889C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1 137 715,66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9DDC0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3 520 749,20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CD56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2 600 962,05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D3DBA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12 573 867,90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9DC26C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12 562 877,00 </w:t>
            </w:r>
          </w:p>
        </w:tc>
      </w:tr>
      <w:tr w:rsidR="00056D41" w:rsidRPr="00056D41" w14:paraId="1CC4B120" w14:textId="77777777" w:rsidTr="00056D41">
        <w:trPr>
          <w:trHeight w:val="236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0D2E7463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A33AEA4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-55,87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BBF97A7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209,46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029C5D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-26,12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D97EA0E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383,43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7FAD4D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-0,09 </w:t>
            </w:r>
          </w:p>
        </w:tc>
      </w:tr>
      <w:tr w:rsidR="00056D41" w:rsidRPr="00056D41" w14:paraId="2F9B9401" w14:textId="77777777" w:rsidTr="00056D41">
        <w:trPr>
          <w:trHeight w:val="285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0CBCAC1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Wynik budżetu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2E1571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2 106 398,32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98D4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3 799 635,99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CE476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6 802 774,37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C5414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-7 199 701,94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664CC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-4 937 643,02 </w:t>
            </w:r>
          </w:p>
        </w:tc>
      </w:tr>
      <w:tr w:rsidR="00056D41" w:rsidRPr="00056D41" w14:paraId="26719293" w14:textId="77777777" w:rsidTr="00056D41">
        <w:trPr>
          <w:trHeight w:val="290"/>
        </w:trPr>
        <w:tc>
          <w:tcPr>
            <w:tcW w:w="1423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EBF1DE"/>
            <w:vAlign w:val="center"/>
            <w:hideMark/>
          </w:tcPr>
          <w:p w14:paraId="7E89C8EB" w14:textId="77777777" w:rsidR="00056D41" w:rsidRPr="00056D41" w:rsidRDefault="00056D41" w:rsidP="00056D41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056D41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6EDE86B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1 337,56 </w:t>
            </w:r>
          </w:p>
        </w:tc>
        <w:tc>
          <w:tcPr>
            <w:tcW w:w="76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FFA0CE3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80,39 </w:t>
            </w:r>
          </w:p>
        </w:tc>
        <w:tc>
          <w:tcPr>
            <w:tcW w:w="6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6CD4D42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79,04 </w:t>
            </w:r>
          </w:p>
        </w:tc>
        <w:tc>
          <w:tcPr>
            <w:tcW w:w="69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D19D349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-205,83 </w:t>
            </w:r>
          </w:p>
        </w:tc>
        <w:tc>
          <w:tcPr>
            <w:tcW w:w="7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2CB9075" w14:textId="77777777" w:rsidR="00056D41" w:rsidRPr="00056D41" w:rsidRDefault="00056D41" w:rsidP="00056D4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</w:pPr>
            <w:r w:rsidRPr="00056D41">
              <w:rPr>
                <w:rFonts w:ascii="Times New Roman" w:eastAsia="Times New Roman" w:hAnsi="Times New Roman" w:cs="Times New Roman"/>
                <w:b/>
                <w:bCs/>
                <w:color w:val="FF0000"/>
                <w:sz w:val="18"/>
                <w:szCs w:val="18"/>
                <w:lang w:eastAsia="pl-PL"/>
              </w:rPr>
              <w:t xml:space="preserve">-31,42 </w:t>
            </w:r>
          </w:p>
        </w:tc>
      </w:tr>
    </w:tbl>
    <w:p w14:paraId="6E10E279" w14:textId="77777777" w:rsidR="00056D41" w:rsidRDefault="00056D41" w:rsidP="00056D41"/>
    <w:p w14:paraId="18CD2A54" w14:textId="77777777" w:rsidR="00A41C58" w:rsidRPr="00A41C58" w:rsidRDefault="00A41C58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Projekt </w:t>
      </w:r>
      <w:r w:rsidRPr="00A41C58">
        <w:rPr>
          <w:rFonts w:cstheme="minorHAnsi"/>
          <w:sz w:val="24"/>
          <w:szCs w:val="24"/>
        </w:rPr>
        <w:t>budżetu na 201</w:t>
      </w:r>
      <w:r w:rsidR="00056D41">
        <w:rPr>
          <w:rFonts w:cstheme="minorHAnsi"/>
          <w:sz w:val="24"/>
          <w:szCs w:val="24"/>
        </w:rPr>
        <w:t>9</w:t>
      </w:r>
      <w:r w:rsidRPr="00A41C58">
        <w:rPr>
          <w:rFonts w:cstheme="minorHAnsi"/>
          <w:sz w:val="24"/>
          <w:szCs w:val="24"/>
        </w:rPr>
        <w:t xml:space="preserve"> rok zakłada </w:t>
      </w:r>
      <w:r>
        <w:rPr>
          <w:rFonts w:cstheme="minorHAnsi"/>
          <w:b/>
          <w:sz w:val="24"/>
          <w:szCs w:val="24"/>
        </w:rPr>
        <w:t>wzrost</w:t>
      </w:r>
      <w:r w:rsidRPr="00A41C58">
        <w:rPr>
          <w:rFonts w:cstheme="minorHAnsi"/>
          <w:b/>
          <w:sz w:val="24"/>
          <w:szCs w:val="24"/>
        </w:rPr>
        <w:t xml:space="preserve"> o </w:t>
      </w:r>
      <w:r w:rsidR="00056D41">
        <w:rPr>
          <w:rFonts w:cstheme="minorHAnsi"/>
          <w:b/>
          <w:sz w:val="24"/>
          <w:szCs w:val="24"/>
        </w:rPr>
        <w:t>5,47</w:t>
      </w:r>
      <w:r>
        <w:rPr>
          <w:rFonts w:cstheme="minorHAnsi"/>
          <w:b/>
          <w:sz w:val="24"/>
          <w:szCs w:val="24"/>
        </w:rPr>
        <w:t>%</w:t>
      </w:r>
      <w:r w:rsidRPr="00A41C58">
        <w:rPr>
          <w:rFonts w:cstheme="minorHAnsi"/>
          <w:sz w:val="24"/>
          <w:szCs w:val="24"/>
        </w:rPr>
        <w:t xml:space="preserve"> </w:t>
      </w:r>
      <w:r w:rsidRPr="00A41C58">
        <w:rPr>
          <w:rFonts w:cstheme="minorHAnsi"/>
          <w:b/>
          <w:sz w:val="24"/>
          <w:szCs w:val="24"/>
        </w:rPr>
        <w:t>dochodów ogółem</w:t>
      </w:r>
      <w:r w:rsidRPr="00A41C58">
        <w:rPr>
          <w:rFonts w:cstheme="minorHAnsi"/>
          <w:sz w:val="24"/>
          <w:szCs w:val="24"/>
        </w:rPr>
        <w:t xml:space="preserve">, przy </w:t>
      </w:r>
      <w:r w:rsidRPr="00A41C58">
        <w:rPr>
          <w:rFonts w:cstheme="minorHAnsi"/>
          <w:b/>
          <w:sz w:val="24"/>
          <w:szCs w:val="24"/>
        </w:rPr>
        <w:t xml:space="preserve">wzroście dochodów bieżących </w:t>
      </w:r>
      <w:r>
        <w:rPr>
          <w:rFonts w:cstheme="minorHAnsi"/>
          <w:b/>
          <w:sz w:val="24"/>
          <w:szCs w:val="24"/>
        </w:rPr>
        <w:t>jedynie o</w:t>
      </w:r>
      <w:r w:rsidRPr="00A41C58">
        <w:rPr>
          <w:rFonts w:cstheme="minorHAnsi"/>
          <w:b/>
          <w:sz w:val="24"/>
          <w:szCs w:val="24"/>
        </w:rPr>
        <w:t xml:space="preserve"> </w:t>
      </w:r>
      <w:r w:rsidR="00056D41">
        <w:rPr>
          <w:rFonts w:cstheme="minorHAnsi"/>
          <w:b/>
          <w:sz w:val="24"/>
          <w:szCs w:val="24"/>
        </w:rPr>
        <w:t>2,51</w:t>
      </w:r>
      <w:r w:rsidRPr="00A41C58">
        <w:rPr>
          <w:rFonts w:cstheme="minorHAnsi"/>
          <w:b/>
          <w:sz w:val="24"/>
          <w:szCs w:val="24"/>
        </w:rPr>
        <w:t>%</w:t>
      </w:r>
      <w:r w:rsidRPr="00A41C58">
        <w:rPr>
          <w:rFonts w:cstheme="minorHAnsi"/>
          <w:sz w:val="24"/>
          <w:szCs w:val="24"/>
        </w:rPr>
        <w:t xml:space="preserve"> w porównaniu do planu budżetu na dzień 30.09.201</w:t>
      </w:r>
      <w:r w:rsidR="00056D41">
        <w:rPr>
          <w:rFonts w:cstheme="minorHAnsi"/>
          <w:sz w:val="24"/>
          <w:szCs w:val="24"/>
        </w:rPr>
        <w:t>8</w:t>
      </w:r>
      <w:r w:rsidRPr="00A41C58">
        <w:rPr>
          <w:rFonts w:cstheme="minorHAnsi"/>
          <w:sz w:val="24"/>
          <w:szCs w:val="24"/>
        </w:rPr>
        <w:t>r. Największą dynamikę wykazują dochody</w:t>
      </w:r>
      <w:r>
        <w:rPr>
          <w:rFonts w:cstheme="minorHAnsi"/>
          <w:sz w:val="24"/>
          <w:szCs w:val="24"/>
        </w:rPr>
        <w:t xml:space="preserve"> bieżące</w:t>
      </w:r>
      <w:r w:rsidRPr="00A41C58">
        <w:rPr>
          <w:rFonts w:cstheme="minorHAnsi"/>
          <w:sz w:val="24"/>
          <w:szCs w:val="24"/>
        </w:rPr>
        <w:t xml:space="preserve"> z tytułu </w:t>
      </w:r>
      <w:r>
        <w:rPr>
          <w:rFonts w:cstheme="minorHAnsi"/>
          <w:sz w:val="24"/>
          <w:szCs w:val="24"/>
        </w:rPr>
        <w:t>wpływów</w:t>
      </w:r>
      <w:r w:rsidRPr="00A41C58">
        <w:rPr>
          <w:rFonts w:cstheme="minorHAnsi"/>
          <w:sz w:val="24"/>
          <w:szCs w:val="24"/>
        </w:rPr>
        <w:t xml:space="preserve"> z</w:t>
      </w:r>
      <w:r w:rsidR="00056D41">
        <w:rPr>
          <w:rFonts w:cstheme="minorHAnsi"/>
          <w:sz w:val="24"/>
          <w:szCs w:val="24"/>
        </w:rPr>
        <w:t xml:space="preserve"> udziałów w</w:t>
      </w:r>
      <w:r w:rsidRPr="00A41C58">
        <w:rPr>
          <w:rFonts w:cstheme="minorHAnsi"/>
          <w:sz w:val="24"/>
          <w:szCs w:val="24"/>
        </w:rPr>
        <w:t xml:space="preserve"> podatku </w:t>
      </w:r>
      <w:r>
        <w:rPr>
          <w:rFonts w:cstheme="minorHAnsi"/>
          <w:sz w:val="24"/>
          <w:szCs w:val="24"/>
        </w:rPr>
        <w:t xml:space="preserve">od </w:t>
      </w:r>
      <w:r w:rsidR="00056D41">
        <w:rPr>
          <w:rFonts w:cstheme="minorHAnsi"/>
          <w:sz w:val="24"/>
          <w:szCs w:val="24"/>
        </w:rPr>
        <w:t>osób fizycznych</w:t>
      </w:r>
      <w:r w:rsidRPr="00A41C58">
        <w:rPr>
          <w:rFonts w:cstheme="minorHAnsi"/>
          <w:sz w:val="24"/>
          <w:szCs w:val="24"/>
        </w:rPr>
        <w:t xml:space="preserve">, tj. </w:t>
      </w:r>
      <w:r w:rsidR="00056D41">
        <w:rPr>
          <w:rFonts w:cstheme="minorHAnsi"/>
          <w:b/>
          <w:sz w:val="24"/>
          <w:szCs w:val="24"/>
        </w:rPr>
        <w:t>29,10</w:t>
      </w:r>
      <w:r w:rsidRPr="00A41C58">
        <w:rPr>
          <w:rFonts w:cstheme="minorHAnsi"/>
          <w:b/>
          <w:sz w:val="24"/>
          <w:szCs w:val="24"/>
        </w:rPr>
        <w:t>%</w:t>
      </w:r>
      <w:r>
        <w:rPr>
          <w:rFonts w:cstheme="minorHAnsi"/>
          <w:b/>
          <w:sz w:val="24"/>
          <w:szCs w:val="24"/>
        </w:rPr>
        <w:t>.</w:t>
      </w:r>
      <w:r w:rsidRPr="00A41C58">
        <w:rPr>
          <w:rFonts w:cstheme="minorHAnsi"/>
          <w:sz w:val="24"/>
          <w:szCs w:val="24"/>
        </w:rPr>
        <w:t xml:space="preserve"> W 201</w:t>
      </w:r>
      <w:r w:rsidR="00056D41">
        <w:rPr>
          <w:rFonts w:cstheme="minorHAnsi"/>
          <w:sz w:val="24"/>
          <w:szCs w:val="24"/>
        </w:rPr>
        <w:t>9</w:t>
      </w:r>
      <w:r w:rsidRPr="00A41C58">
        <w:rPr>
          <w:rFonts w:cstheme="minorHAnsi"/>
          <w:sz w:val="24"/>
          <w:szCs w:val="24"/>
        </w:rPr>
        <w:t xml:space="preserve"> r. udział Gmin we wpływach z podatku dochodowego od osób fizycznych wynosić będzie </w:t>
      </w:r>
      <w:r w:rsidR="00056D41">
        <w:rPr>
          <w:rFonts w:cstheme="minorHAnsi"/>
          <w:sz w:val="24"/>
          <w:szCs w:val="24"/>
        </w:rPr>
        <w:t>38,08</w:t>
      </w:r>
      <w:r w:rsidRPr="00A41C58">
        <w:rPr>
          <w:rFonts w:cstheme="minorHAnsi"/>
          <w:sz w:val="24"/>
          <w:szCs w:val="24"/>
        </w:rPr>
        <w:t>% (w 201</w:t>
      </w:r>
      <w:r>
        <w:rPr>
          <w:rFonts w:cstheme="minorHAnsi"/>
          <w:sz w:val="24"/>
          <w:szCs w:val="24"/>
        </w:rPr>
        <w:t>7</w:t>
      </w:r>
      <w:r w:rsidRPr="00A41C58">
        <w:rPr>
          <w:rFonts w:cstheme="minorHAnsi"/>
          <w:sz w:val="24"/>
          <w:szCs w:val="24"/>
        </w:rPr>
        <w:t xml:space="preserve"> r. – </w:t>
      </w:r>
      <w:r>
        <w:rPr>
          <w:rFonts w:cstheme="minorHAnsi"/>
          <w:sz w:val="24"/>
          <w:szCs w:val="24"/>
        </w:rPr>
        <w:t>37,89</w:t>
      </w:r>
      <w:r w:rsidRPr="00A41C58">
        <w:rPr>
          <w:rFonts w:cstheme="minorHAnsi"/>
          <w:sz w:val="24"/>
          <w:szCs w:val="24"/>
        </w:rPr>
        <w:t>%</w:t>
      </w:r>
      <w:r w:rsidR="00056D41">
        <w:rPr>
          <w:rFonts w:cstheme="minorHAnsi"/>
          <w:sz w:val="24"/>
          <w:szCs w:val="24"/>
        </w:rPr>
        <w:t>, w 2018 r. – 37,98%</w:t>
      </w:r>
      <w:r w:rsidRPr="00A41C58">
        <w:rPr>
          <w:rFonts w:cstheme="minorHAnsi"/>
          <w:sz w:val="24"/>
          <w:szCs w:val="24"/>
        </w:rPr>
        <w:t xml:space="preserve">). Planowane wpływy z tytułu podatku od osób fizycznych nie mają charakteru dyrektywnego, a stanowią jedynie prognozę opublikowaną </w:t>
      </w:r>
      <w:r w:rsidRPr="004D2EE9">
        <w:rPr>
          <w:rFonts w:cstheme="minorHAnsi"/>
          <w:sz w:val="24"/>
          <w:szCs w:val="24"/>
        </w:rPr>
        <w:t>przez Ministerstwo Rozwoju i Finansów.</w:t>
      </w:r>
      <w:r w:rsidRPr="00A41C58">
        <w:rPr>
          <w:rFonts w:cstheme="minorHAnsi"/>
          <w:sz w:val="24"/>
          <w:szCs w:val="24"/>
        </w:rPr>
        <w:t xml:space="preserve"> W związku </w:t>
      </w:r>
      <w:r>
        <w:rPr>
          <w:rFonts w:cstheme="minorHAnsi"/>
          <w:sz w:val="24"/>
          <w:szCs w:val="24"/>
        </w:rPr>
        <w:t>z powyższym, faktyczne dochody g</w:t>
      </w:r>
      <w:r w:rsidRPr="00A41C58">
        <w:rPr>
          <w:rFonts w:cstheme="minorHAnsi"/>
          <w:sz w:val="24"/>
          <w:szCs w:val="24"/>
        </w:rPr>
        <w:t xml:space="preserve">miny mogą ulec zmianie. </w:t>
      </w:r>
    </w:p>
    <w:p w14:paraId="11DDA16D" w14:textId="77777777" w:rsidR="00A41C58" w:rsidRPr="00A41C58" w:rsidRDefault="00A41C58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sz w:val="24"/>
          <w:szCs w:val="24"/>
        </w:rPr>
      </w:pPr>
      <w:r w:rsidRPr="00A41C58">
        <w:rPr>
          <w:rFonts w:cstheme="minorHAnsi"/>
          <w:sz w:val="24"/>
          <w:szCs w:val="24"/>
        </w:rPr>
        <w:t xml:space="preserve">Plan </w:t>
      </w:r>
      <w:r w:rsidRPr="00A41C58">
        <w:rPr>
          <w:rFonts w:cstheme="minorHAnsi"/>
          <w:b/>
          <w:sz w:val="24"/>
          <w:szCs w:val="24"/>
        </w:rPr>
        <w:t>wydatków ogółem na 20</w:t>
      </w:r>
      <w:r>
        <w:rPr>
          <w:rFonts w:cstheme="minorHAnsi"/>
          <w:b/>
          <w:sz w:val="24"/>
          <w:szCs w:val="24"/>
        </w:rPr>
        <w:t>1</w:t>
      </w:r>
      <w:r w:rsidR="00056D41">
        <w:rPr>
          <w:rFonts w:cstheme="minorHAnsi"/>
          <w:b/>
          <w:sz w:val="24"/>
          <w:szCs w:val="24"/>
        </w:rPr>
        <w:t>9</w:t>
      </w:r>
      <w:r>
        <w:rPr>
          <w:rFonts w:cstheme="minorHAnsi"/>
          <w:b/>
          <w:sz w:val="24"/>
          <w:szCs w:val="24"/>
        </w:rPr>
        <w:t xml:space="preserve"> </w:t>
      </w:r>
      <w:r w:rsidRPr="00A41C58">
        <w:rPr>
          <w:rFonts w:cstheme="minorHAnsi"/>
          <w:sz w:val="24"/>
          <w:szCs w:val="24"/>
        </w:rPr>
        <w:t>rok w porównaniu z rokiem 201</w:t>
      </w:r>
      <w:r w:rsidR="00056D41">
        <w:rPr>
          <w:rFonts w:cstheme="minorHAnsi"/>
          <w:sz w:val="24"/>
          <w:szCs w:val="24"/>
        </w:rPr>
        <w:t>8</w:t>
      </w:r>
      <w:r>
        <w:rPr>
          <w:rFonts w:cstheme="minorHAnsi"/>
          <w:sz w:val="24"/>
          <w:szCs w:val="24"/>
        </w:rPr>
        <w:t xml:space="preserve"> </w:t>
      </w:r>
      <w:r w:rsidRPr="00A41C58">
        <w:rPr>
          <w:rFonts w:cstheme="minorHAnsi"/>
          <w:sz w:val="24"/>
          <w:szCs w:val="24"/>
        </w:rPr>
        <w:t xml:space="preserve">zakłada </w:t>
      </w:r>
      <w:r w:rsidR="00056D41">
        <w:rPr>
          <w:rFonts w:cstheme="minorHAnsi"/>
          <w:b/>
          <w:sz w:val="24"/>
          <w:szCs w:val="24"/>
        </w:rPr>
        <w:t>spadek</w:t>
      </w:r>
      <w:r w:rsidRPr="00A41C58">
        <w:rPr>
          <w:rFonts w:cstheme="minorHAnsi"/>
          <w:b/>
          <w:sz w:val="24"/>
          <w:szCs w:val="24"/>
        </w:rPr>
        <w:t xml:space="preserve"> o </w:t>
      </w:r>
      <w:r w:rsidR="00056D41">
        <w:rPr>
          <w:rFonts w:cstheme="minorHAnsi"/>
          <w:b/>
          <w:sz w:val="24"/>
          <w:szCs w:val="24"/>
        </w:rPr>
        <w:t>0,60</w:t>
      </w:r>
      <w:r w:rsidRPr="00A41C58">
        <w:rPr>
          <w:rFonts w:cstheme="minorHAnsi"/>
          <w:b/>
          <w:sz w:val="24"/>
          <w:szCs w:val="24"/>
        </w:rPr>
        <w:t>%,</w:t>
      </w:r>
      <w:r w:rsidRPr="00A41C58">
        <w:rPr>
          <w:rFonts w:cstheme="minorHAnsi"/>
          <w:sz w:val="24"/>
          <w:szCs w:val="24"/>
        </w:rPr>
        <w:t xml:space="preserve"> </w:t>
      </w:r>
      <w:r w:rsidR="003C4C87">
        <w:rPr>
          <w:rFonts w:cstheme="minorHAnsi"/>
          <w:sz w:val="24"/>
          <w:szCs w:val="24"/>
        </w:rPr>
        <w:t xml:space="preserve">a </w:t>
      </w:r>
      <w:r w:rsidRPr="00A41C58">
        <w:rPr>
          <w:rFonts w:cstheme="minorHAnsi"/>
          <w:sz w:val="24"/>
          <w:szCs w:val="24"/>
        </w:rPr>
        <w:t xml:space="preserve"> </w:t>
      </w:r>
      <w:r w:rsidRPr="00A41C58">
        <w:rPr>
          <w:rFonts w:cstheme="minorHAnsi"/>
          <w:b/>
          <w:sz w:val="24"/>
          <w:szCs w:val="24"/>
        </w:rPr>
        <w:t>wydatki bieżące</w:t>
      </w:r>
      <w:r w:rsidRPr="00A41C58">
        <w:rPr>
          <w:rFonts w:cstheme="minorHAnsi"/>
          <w:sz w:val="24"/>
          <w:szCs w:val="24"/>
        </w:rPr>
        <w:t xml:space="preserve"> wykazują </w:t>
      </w:r>
      <w:r w:rsidR="003C4C87">
        <w:rPr>
          <w:rFonts w:cstheme="minorHAnsi"/>
          <w:b/>
          <w:sz w:val="24"/>
          <w:szCs w:val="24"/>
        </w:rPr>
        <w:t>spadek</w:t>
      </w:r>
      <w:r>
        <w:rPr>
          <w:rFonts w:cstheme="minorHAnsi"/>
          <w:b/>
          <w:sz w:val="24"/>
          <w:szCs w:val="24"/>
        </w:rPr>
        <w:t xml:space="preserve"> </w:t>
      </w:r>
      <w:r w:rsidRPr="00A41C58">
        <w:rPr>
          <w:rFonts w:cstheme="minorHAnsi"/>
          <w:b/>
          <w:sz w:val="24"/>
          <w:szCs w:val="24"/>
        </w:rPr>
        <w:t xml:space="preserve">o </w:t>
      </w:r>
      <w:r>
        <w:rPr>
          <w:rFonts w:cstheme="minorHAnsi"/>
          <w:b/>
          <w:sz w:val="24"/>
          <w:szCs w:val="24"/>
        </w:rPr>
        <w:t>0,8</w:t>
      </w:r>
      <w:r w:rsidR="003C4C87">
        <w:rPr>
          <w:rFonts w:cstheme="minorHAnsi"/>
          <w:b/>
          <w:sz w:val="24"/>
          <w:szCs w:val="24"/>
        </w:rPr>
        <w:t>0</w:t>
      </w:r>
      <w:r w:rsidRPr="00A41C58">
        <w:rPr>
          <w:rFonts w:cstheme="minorHAnsi"/>
          <w:b/>
          <w:sz w:val="24"/>
          <w:szCs w:val="24"/>
        </w:rPr>
        <w:t>%</w:t>
      </w:r>
      <w:r>
        <w:rPr>
          <w:rFonts w:cstheme="minorHAnsi"/>
          <w:b/>
          <w:sz w:val="24"/>
          <w:szCs w:val="24"/>
        </w:rPr>
        <w:t xml:space="preserve">, natomiast </w:t>
      </w:r>
      <w:r w:rsidR="003B5699">
        <w:rPr>
          <w:rFonts w:cstheme="minorHAnsi"/>
          <w:b/>
          <w:sz w:val="24"/>
          <w:szCs w:val="24"/>
        </w:rPr>
        <w:t xml:space="preserve">majątkowe </w:t>
      </w:r>
      <w:r w:rsidR="003C4C87">
        <w:rPr>
          <w:rFonts w:cstheme="minorHAnsi"/>
          <w:b/>
          <w:sz w:val="24"/>
          <w:szCs w:val="24"/>
        </w:rPr>
        <w:t>spadek</w:t>
      </w:r>
      <w:r w:rsidR="003B5699">
        <w:rPr>
          <w:rFonts w:cstheme="minorHAnsi"/>
          <w:b/>
          <w:sz w:val="24"/>
          <w:szCs w:val="24"/>
        </w:rPr>
        <w:t xml:space="preserve"> o </w:t>
      </w:r>
      <w:r w:rsidR="003C4C87">
        <w:rPr>
          <w:rFonts w:cstheme="minorHAnsi"/>
          <w:b/>
          <w:sz w:val="24"/>
          <w:szCs w:val="24"/>
        </w:rPr>
        <w:t>0,09</w:t>
      </w:r>
      <w:r w:rsidR="003B5699">
        <w:rPr>
          <w:rFonts w:cstheme="minorHAnsi"/>
          <w:b/>
          <w:sz w:val="24"/>
          <w:szCs w:val="24"/>
        </w:rPr>
        <w:t>%.</w:t>
      </w:r>
      <w:r w:rsidRPr="00A41C58">
        <w:rPr>
          <w:rFonts w:cstheme="minorHAnsi"/>
          <w:b/>
          <w:sz w:val="24"/>
          <w:szCs w:val="24"/>
        </w:rPr>
        <w:t xml:space="preserve"> </w:t>
      </w:r>
    </w:p>
    <w:p w14:paraId="7E867BF4" w14:textId="77777777" w:rsidR="003B5699" w:rsidRPr="003B5699" w:rsidRDefault="003B5699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3B5699">
        <w:rPr>
          <w:rFonts w:cstheme="minorHAnsi"/>
          <w:sz w:val="24"/>
          <w:szCs w:val="24"/>
        </w:rPr>
        <w:t xml:space="preserve">Prognozę dochodów opracowano w wymaganej szczegółowości określonej w art. 226 ustawy z dnia 27 sierpnia 2009 roku o finansach publicznych i rozporządzeniu Ministra Finansów z dnia 10 stycznia 2013 roku z </w:t>
      </w:r>
      <w:proofErr w:type="spellStart"/>
      <w:r w:rsidRPr="003B5699">
        <w:rPr>
          <w:rFonts w:cstheme="minorHAnsi"/>
          <w:sz w:val="24"/>
          <w:szCs w:val="24"/>
        </w:rPr>
        <w:t>późn</w:t>
      </w:r>
      <w:proofErr w:type="spellEnd"/>
      <w:r w:rsidRPr="003B5699">
        <w:rPr>
          <w:rFonts w:cstheme="minorHAnsi"/>
          <w:sz w:val="24"/>
          <w:szCs w:val="24"/>
        </w:rPr>
        <w:t>. zmianami w sprawie wieloletniej prognozy finansowej jednostki samorządu terytorialnego.</w:t>
      </w:r>
    </w:p>
    <w:p w14:paraId="084E4A09" w14:textId="77777777" w:rsidR="003B5699" w:rsidRPr="003B5699" w:rsidRDefault="003B5699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3B5699">
        <w:rPr>
          <w:rFonts w:cstheme="minorHAnsi"/>
          <w:sz w:val="24"/>
          <w:szCs w:val="24"/>
        </w:rPr>
        <w:tab/>
        <w:t>W w/w przepisach wymienia się główne źródła dochodów</w:t>
      </w:r>
      <w:r w:rsidRPr="003B5699">
        <w:rPr>
          <w:rFonts w:cstheme="minorHAnsi"/>
          <w:sz w:val="24"/>
          <w:szCs w:val="24"/>
        </w:rPr>
        <w:br/>
        <w:t>z podziałem na dwie grupy dochodów:</w:t>
      </w:r>
    </w:p>
    <w:p w14:paraId="3E7B01A1" w14:textId="77777777" w:rsidR="003B5699" w:rsidRPr="003B5699" w:rsidRDefault="003B5699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3B5699">
        <w:rPr>
          <w:rFonts w:cstheme="minorHAnsi"/>
          <w:sz w:val="24"/>
          <w:szCs w:val="24"/>
        </w:rPr>
        <w:t>- dochody bieżące,</w:t>
      </w:r>
    </w:p>
    <w:p w14:paraId="0FFA4679" w14:textId="77777777" w:rsidR="003B5699" w:rsidRPr="003B5699" w:rsidRDefault="003B5699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3B5699">
        <w:rPr>
          <w:rFonts w:cstheme="minorHAnsi"/>
          <w:sz w:val="24"/>
          <w:szCs w:val="24"/>
        </w:rPr>
        <w:t>- dochody majątkowe.</w:t>
      </w:r>
    </w:p>
    <w:p w14:paraId="0F6E404A" w14:textId="77777777" w:rsidR="003B5699" w:rsidRPr="003B5699" w:rsidRDefault="003B5699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3B5699">
        <w:rPr>
          <w:rFonts w:cstheme="minorHAnsi"/>
          <w:sz w:val="24"/>
          <w:szCs w:val="24"/>
        </w:rPr>
        <w:t>Kształtowanie się dochodów i wydatków w perspektywie 20</w:t>
      </w:r>
      <w:r w:rsidR="003C4C87">
        <w:rPr>
          <w:rFonts w:cstheme="minorHAnsi"/>
          <w:sz w:val="24"/>
          <w:szCs w:val="24"/>
        </w:rPr>
        <w:t>20</w:t>
      </w:r>
      <w:r w:rsidRPr="003B5699">
        <w:rPr>
          <w:rFonts w:cstheme="minorHAnsi"/>
          <w:sz w:val="24"/>
          <w:szCs w:val="24"/>
        </w:rPr>
        <w:t xml:space="preserve">-2028 przedstawia poniższa tabela 4. </w:t>
      </w:r>
    </w:p>
    <w:p w14:paraId="13A5106E" w14:textId="77777777" w:rsidR="006A74C3" w:rsidRDefault="006A74C3" w:rsidP="006A74C3">
      <w:pPr>
        <w:pStyle w:val="Legenda"/>
        <w:rPr>
          <w:rFonts w:cstheme="minorHAnsi"/>
          <w:color w:val="auto"/>
          <w:sz w:val="22"/>
          <w:szCs w:val="22"/>
        </w:rPr>
      </w:pPr>
      <w:r w:rsidRPr="008905DD">
        <w:rPr>
          <w:rFonts w:cstheme="minorHAnsi"/>
          <w:color w:val="auto"/>
          <w:sz w:val="22"/>
          <w:szCs w:val="22"/>
        </w:rPr>
        <w:t xml:space="preserve">Tabela </w:t>
      </w:r>
      <w:r>
        <w:rPr>
          <w:rFonts w:cstheme="minorHAnsi"/>
          <w:color w:val="auto"/>
          <w:sz w:val="22"/>
          <w:szCs w:val="22"/>
        </w:rPr>
        <w:t>4</w:t>
      </w:r>
      <w:r w:rsidRPr="008905DD">
        <w:rPr>
          <w:rFonts w:cstheme="minorHAnsi"/>
          <w:color w:val="auto"/>
          <w:sz w:val="22"/>
          <w:szCs w:val="22"/>
        </w:rPr>
        <w:t xml:space="preserve">. </w:t>
      </w:r>
      <w:r>
        <w:rPr>
          <w:rFonts w:cstheme="minorHAnsi"/>
          <w:color w:val="auto"/>
          <w:sz w:val="22"/>
          <w:szCs w:val="22"/>
        </w:rPr>
        <w:t xml:space="preserve"> Prognoza dochodów i wydatków w latach 20</w:t>
      </w:r>
      <w:r w:rsidR="003C4C87">
        <w:rPr>
          <w:rFonts w:cstheme="minorHAnsi"/>
          <w:color w:val="auto"/>
          <w:sz w:val="22"/>
          <w:szCs w:val="22"/>
        </w:rPr>
        <w:t>20</w:t>
      </w:r>
      <w:r>
        <w:rPr>
          <w:rFonts w:cstheme="minorHAnsi"/>
          <w:color w:val="auto"/>
          <w:sz w:val="22"/>
          <w:szCs w:val="22"/>
        </w:rPr>
        <w:t>-2028.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835"/>
        <w:gridCol w:w="1292"/>
        <w:gridCol w:w="1229"/>
        <w:gridCol w:w="1334"/>
        <w:gridCol w:w="1251"/>
        <w:gridCol w:w="1271"/>
      </w:tblGrid>
      <w:tr w:rsidR="00D23FAD" w:rsidRPr="00D23FAD" w14:paraId="0EA221BA" w14:textId="77777777" w:rsidTr="00D23FAD">
        <w:trPr>
          <w:trHeight w:val="525"/>
          <w:tblHeader/>
        </w:trPr>
        <w:tc>
          <w:tcPr>
            <w:tcW w:w="1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E74129E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Wyszczególnienie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5FB1C41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2020</w:t>
            </w:r>
          </w:p>
        </w:tc>
        <w:tc>
          <w:tcPr>
            <w:tcW w:w="66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D77AFD3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2021</w:t>
            </w:r>
          </w:p>
        </w:tc>
        <w:tc>
          <w:tcPr>
            <w:tcW w:w="72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3A0ECB2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2022</w:t>
            </w:r>
          </w:p>
        </w:tc>
        <w:tc>
          <w:tcPr>
            <w:tcW w:w="67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FA5479A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2023</w:t>
            </w:r>
          </w:p>
        </w:tc>
        <w:tc>
          <w:tcPr>
            <w:tcW w:w="6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2B897BD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2024</w:t>
            </w:r>
          </w:p>
        </w:tc>
      </w:tr>
      <w:tr w:rsidR="00D23FAD" w:rsidRPr="00D23FAD" w14:paraId="739A8D5C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7CF49DE8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Dochody ogółem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F5AB61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37 787 106,00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609082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38 776 157,00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38A4139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39 245 185,00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9F4C9A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42 168 211,00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EE8CA0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39 138 158,00 </w:t>
            </w:r>
          </w:p>
        </w:tc>
      </w:tr>
      <w:tr w:rsidR="00D23FAD" w:rsidRPr="00D23FAD" w14:paraId="038768BD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2DEC26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C92CA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-2,12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3852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2,62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D8B5F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1,21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C880A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7,45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C063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-7,19 </w:t>
            </w:r>
          </w:p>
        </w:tc>
      </w:tr>
      <w:tr w:rsidR="00D23FAD" w:rsidRPr="00D23FAD" w14:paraId="0B323BF5" w14:textId="77777777" w:rsidTr="00D23FAD">
        <w:trPr>
          <w:trHeight w:val="285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7CC9DEC4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Dochody bieżące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77409AD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34 371 966,00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9A4111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35 609 357,00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630274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36 855 685,00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060723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37 998 211,00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F0984A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39 138 158,00 </w:t>
            </w:r>
          </w:p>
        </w:tc>
      </w:tr>
      <w:tr w:rsidR="00D23FAD" w:rsidRPr="00D23FAD" w14:paraId="0F0489A3" w14:textId="77777777" w:rsidTr="00D23FAD">
        <w:trPr>
          <w:trHeight w:val="285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32D835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D378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3,70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69154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3,60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633F8F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3,50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8A0BD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F52E7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3,00 </w:t>
            </w:r>
          </w:p>
        </w:tc>
      </w:tr>
      <w:tr w:rsidR="00D23FAD" w:rsidRPr="00D23FAD" w14:paraId="5FA5123F" w14:textId="77777777" w:rsidTr="00D23FAD">
        <w:trPr>
          <w:trHeight w:val="285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3C20F61A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Dochody majątkowe, w tym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78E0CA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3 415 140,00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F8827E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3 166 800,00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56F9C7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2 389 500,00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5D2491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4 170 000,00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F4AB24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</w:tr>
      <w:tr w:rsidR="00D23FAD" w:rsidRPr="00D23FAD" w14:paraId="471DCA5E" w14:textId="77777777" w:rsidTr="00D23FAD">
        <w:trPr>
          <w:trHeight w:val="285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AB9E249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AFDD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-37,45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58C32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-7,27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4267EF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-24,55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9A165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74,51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57CB4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-100,00 </w:t>
            </w:r>
          </w:p>
        </w:tc>
      </w:tr>
      <w:tr w:rsidR="00D23FAD" w:rsidRPr="00D23FAD" w14:paraId="261218FC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5CE949BE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Wydatki ogółem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CBEF6C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37 187 106,00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50F358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38 176 157,00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386074F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38 645 185,00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7D35E8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41 568 211,00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2DE529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38 538 158,00 </w:t>
            </w:r>
          </w:p>
        </w:tc>
      </w:tr>
      <w:tr w:rsidR="00D23FAD" w:rsidRPr="00D23FAD" w14:paraId="446C0DDF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F5537A5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4472F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-14,60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3FBF05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2,66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3EDA7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1,23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500A4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7,56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A73A1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-7,29 </w:t>
            </w:r>
          </w:p>
        </w:tc>
      </w:tr>
      <w:tr w:rsidR="00D23FAD" w:rsidRPr="00D23FAD" w14:paraId="5BCBFD0B" w14:textId="77777777" w:rsidTr="00D23FAD">
        <w:trPr>
          <w:trHeight w:val="285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005D007A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Wydatki bieżące, w tym: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AE8015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31 444 645,00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188493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32 548 307,00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46D865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33 362 013,00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8C740C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34 196 064,00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F0CDEC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35 050 965,00 </w:t>
            </w:r>
          </w:p>
        </w:tc>
      </w:tr>
      <w:tr w:rsidR="00D23FAD" w:rsidRPr="00D23FAD" w14:paraId="71A50DA9" w14:textId="77777777" w:rsidTr="00D23FAD">
        <w:trPr>
          <w:trHeight w:val="285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B76D08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DEA42D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1,50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4D04C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3,51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D032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2,50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2E1C1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2,50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F7CDF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2,50 </w:t>
            </w:r>
          </w:p>
        </w:tc>
      </w:tr>
      <w:tr w:rsidR="00D23FAD" w:rsidRPr="00D23FAD" w14:paraId="5B0F19D9" w14:textId="77777777" w:rsidTr="00D23FAD">
        <w:trPr>
          <w:trHeight w:val="285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40A0E8B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lastRenderedPageBreak/>
              <w:t>Wydatki majątkowe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0DCD7F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5 742 461,00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356070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5 627 850,00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65891BF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5 283 172,00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EDC566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7 372 147,00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5EB9DBD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3 487 193,00 </w:t>
            </w:r>
          </w:p>
        </w:tc>
      </w:tr>
      <w:tr w:rsidR="00D23FAD" w:rsidRPr="00D23FAD" w14:paraId="121CB028" w14:textId="77777777" w:rsidTr="00D23FAD">
        <w:trPr>
          <w:trHeight w:val="285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5F90E4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466CB9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-54,29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C5AC4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-2,00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F0D09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-6,12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40C0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39,54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E48D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-52,70 </w:t>
            </w:r>
          </w:p>
        </w:tc>
      </w:tr>
      <w:tr w:rsidR="00D23FAD" w:rsidRPr="00D23FAD" w14:paraId="5F73AF5F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719E986A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Wynik budżetu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C4A08F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F46489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65B9B8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36964D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D4DDF1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</w:tr>
      <w:tr w:rsidR="00D23FAD" w:rsidRPr="00D23FAD" w14:paraId="47BA7C93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1BB6D6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421C1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-112,15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3C6B0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E1FE99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F1096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0180E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</w:tr>
      <w:tr w:rsidR="00D23FAD" w:rsidRPr="00D23FAD" w14:paraId="47574AA1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5849F3C2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Przychody budżetu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81949F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D36950A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2008F7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A8C217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CEDBC2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</w:tr>
      <w:tr w:rsidR="00D23FAD" w:rsidRPr="00D23FAD" w14:paraId="390847D1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7AD6DA14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Rozchody budżetu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F79181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39D261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ECBC32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A0ABE3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92FC79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</w:tr>
      <w:tr w:rsidR="00D23FAD" w:rsidRPr="00D23FAD" w14:paraId="7BE32437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0DB7E8AF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Kwota długu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366273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4 800 000,00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0FA3D5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4 200 000,00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B0F474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3 600 000,00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42F775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3 000 000,00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C02361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2 400 000,00 </w:t>
            </w:r>
          </w:p>
        </w:tc>
      </w:tr>
      <w:tr w:rsidR="00D23FAD" w:rsidRPr="00D23FAD" w14:paraId="5ECC8FBE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F153FB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2FA3B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-11,11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A8940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-12,50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37D6D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-14,29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F90F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-16,67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85F4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-20,00 </w:t>
            </w:r>
          </w:p>
        </w:tc>
      </w:tr>
      <w:tr w:rsidR="00D23FAD" w:rsidRPr="00D23FAD" w14:paraId="5ED263D2" w14:textId="77777777" w:rsidTr="00D23FAD">
        <w:trPr>
          <w:trHeight w:val="72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B36182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Relacja zrównoważenia wydatków bieżących, o której mowa w art. 242 ustawy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B0B13C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8C320C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68DBBD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C2B249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E5F14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</w:tr>
      <w:tr w:rsidR="00D23FAD" w:rsidRPr="00D23FAD" w14:paraId="1F6F8393" w14:textId="77777777" w:rsidTr="00D23FAD">
        <w:trPr>
          <w:trHeight w:val="72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84C5C29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Różnica między dochodami bieżącymi a  wydatkami bieżącymi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7867D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2 927 321,00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33650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3 061 050,00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B704BF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3 493 672,00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DF95D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3 802 147,00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9446D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4 087 193,00 </w:t>
            </w:r>
          </w:p>
        </w:tc>
      </w:tr>
      <w:tr w:rsidR="00D23FAD" w:rsidRPr="00D23FAD" w14:paraId="39A7E4F6" w14:textId="77777777" w:rsidTr="00D23FAD">
        <w:trPr>
          <w:trHeight w:val="300"/>
        </w:trPr>
        <w:tc>
          <w:tcPr>
            <w:tcW w:w="153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17587A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A9EB0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35,17 </w:t>
            </w:r>
          </w:p>
        </w:tc>
        <w:tc>
          <w:tcPr>
            <w:tcW w:w="66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AA59EA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4,57 </w:t>
            </w:r>
          </w:p>
        </w:tc>
        <w:tc>
          <w:tcPr>
            <w:tcW w:w="72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482ED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14,13 </w:t>
            </w:r>
          </w:p>
        </w:tc>
        <w:tc>
          <w:tcPr>
            <w:tcW w:w="6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9B6D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8,83 </w:t>
            </w:r>
          </w:p>
        </w:tc>
        <w:tc>
          <w:tcPr>
            <w:tcW w:w="6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28FE1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7,50 </w:t>
            </w:r>
          </w:p>
        </w:tc>
      </w:tr>
    </w:tbl>
    <w:p w14:paraId="790784D6" w14:textId="77777777" w:rsidR="00D23FAD" w:rsidRDefault="00D23FAD" w:rsidP="00D23FAD"/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247"/>
        <w:gridCol w:w="1504"/>
        <w:gridCol w:w="1479"/>
        <w:gridCol w:w="1479"/>
        <w:gridCol w:w="1503"/>
      </w:tblGrid>
      <w:tr w:rsidR="00D23FAD" w:rsidRPr="00D23FAD" w14:paraId="55F0BAA9" w14:textId="77777777" w:rsidTr="00CB5B61">
        <w:trPr>
          <w:trHeight w:val="525"/>
        </w:trPr>
        <w:tc>
          <w:tcPr>
            <w:tcW w:w="176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07FECEB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Wyszczególnienie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6B0D1DB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2025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86F9A46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2026</w:t>
            </w:r>
          </w:p>
        </w:tc>
        <w:tc>
          <w:tcPr>
            <w:tcW w:w="80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C7E2F7F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2027</w:t>
            </w:r>
          </w:p>
        </w:tc>
        <w:tc>
          <w:tcPr>
            <w:tcW w:w="81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FF0DA39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2028</w:t>
            </w:r>
          </w:p>
        </w:tc>
      </w:tr>
      <w:tr w:rsidR="00D23FAD" w:rsidRPr="00D23FAD" w14:paraId="56D78945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0F35CC46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Dochody ogółem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DEA5BF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40 312 302,00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2D6F7F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41 481 359,00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BF35B0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42 642 837,00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1F8F4E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43 836 837,00 </w:t>
            </w:r>
          </w:p>
        </w:tc>
      </w:tr>
      <w:tr w:rsidR="00D23FAD" w:rsidRPr="00D23FAD" w14:paraId="40145A1E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BA0FFB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3E9F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32D9F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2,90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E14FC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2,80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BE0D6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2,80 </w:t>
            </w:r>
          </w:p>
        </w:tc>
      </w:tr>
      <w:tr w:rsidR="00D23FAD" w:rsidRPr="00D23FAD" w14:paraId="63D4C233" w14:textId="77777777" w:rsidTr="00CB5B61">
        <w:trPr>
          <w:trHeight w:val="285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7D211DB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Dochody bieżące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103DA0D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40 312 302,00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BD0CFE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41 481 359,00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4C3DC8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42 642 837,00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8F1158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43 836 837,00 </w:t>
            </w:r>
          </w:p>
        </w:tc>
      </w:tr>
      <w:tr w:rsidR="00D23FAD" w:rsidRPr="00D23FAD" w14:paraId="3D8DF4D5" w14:textId="77777777" w:rsidTr="00CB5B61">
        <w:trPr>
          <w:trHeight w:val="285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B01A8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EB6FC9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C3F4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2,90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41E5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2,80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8C0AFA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2,80 </w:t>
            </w:r>
          </w:p>
        </w:tc>
      </w:tr>
      <w:tr w:rsidR="00D23FAD" w:rsidRPr="00D23FAD" w14:paraId="32FFCF3B" w14:textId="77777777" w:rsidTr="00CB5B61">
        <w:trPr>
          <w:trHeight w:val="285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09F66B52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Dochody majątkowe, w tym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D7FD76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C7716C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FB1CF5F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36D4BC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</w:tr>
      <w:tr w:rsidR="00D23FAD" w:rsidRPr="00D23FAD" w14:paraId="62C5FF38" w14:textId="77777777" w:rsidTr="00CB5B61">
        <w:trPr>
          <w:trHeight w:val="285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ABDD30B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F5600D8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6B52FC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5B5268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pl-PL"/>
              </w:rPr>
              <w:t>X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7536DA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6"/>
                <w:szCs w:val="16"/>
                <w:lang w:eastAsia="pl-PL"/>
              </w:rPr>
              <w:t>X</w:t>
            </w:r>
          </w:p>
        </w:tc>
      </w:tr>
      <w:tr w:rsidR="00D23FAD" w:rsidRPr="00D23FAD" w14:paraId="5C91FA4B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0DCDFC2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Wydatki ogółem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480FC3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39 712 302,00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35831D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40 881 359,00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97D65AA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42 042 837,00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AB2130F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43 236 837,00 </w:t>
            </w:r>
          </w:p>
        </w:tc>
      </w:tr>
      <w:tr w:rsidR="00D23FAD" w:rsidRPr="00D23FAD" w14:paraId="01B99B7E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3BF2E6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251BA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3,05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65FCD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2,94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A1039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2,84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13C00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2,84 </w:t>
            </w:r>
          </w:p>
        </w:tc>
      </w:tr>
      <w:tr w:rsidR="00D23FAD" w:rsidRPr="00D23FAD" w14:paraId="6CF16FE3" w14:textId="77777777" w:rsidTr="00CB5B61">
        <w:trPr>
          <w:trHeight w:val="285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488EDBEF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Wydatki bieżące, w tym: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B982B4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35 927 240,00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7C1304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36 825 421,00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96562A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37 746 056,00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186016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38 689 707,00 </w:t>
            </w:r>
          </w:p>
        </w:tc>
      </w:tr>
      <w:tr w:rsidR="00D23FAD" w:rsidRPr="00D23FAD" w14:paraId="20739BB5" w14:textId="77777777" w:rsidTr="00CB5B61">
        <w:trPr>
          <w:trHeight w:val="285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55E47A3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EEE88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2,50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5BFC6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2,50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EEE87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2,50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7F58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2,50 </w:t>
            </w:r>
          </w:p>
        </w:tc>
      </w:tr>
      <w:tr w:rsidR="00D23FAD" w:rsidRPr="00D23FAD" w14:paraId="7E065F2C" w14:textId="77777777" w:rsidTr="00CB5B61">
        <w:trPr>
          <w:trHeight w:val="285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0E2929CD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Wydatki majątkowe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C35560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3 785 062,00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532C329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4 055 938,00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775A33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4 296 781,00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703F62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4 547 130,00 </w:t>
            </w:r>
          </w:p>
        </w:tc>
      </w:tr>
      <w:tr w:rsidR="00D23FAD" w:rsidRPr="00D23FAD" w14:paraId="06857AAA" w14:textId="77777777" w:rsidTr="00CB5B61">
        <w:trPr>
          <w:trHeight w:val="285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7E1F9B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28F6AA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8,54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2FA7CDA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7,16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94934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5,94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E3141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5,83 </w:t>
            </w:r>
          </w:p>
        </w:tc>
      </w:tr>
      <w:tr w:rsidR="00D23FAD" w:rsidRPr="00D23FAD" w14:paraId="11DD8106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49BF7EDC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Wynik budżetu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272931D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082AD8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04806C3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6381DD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</w:tr>
      <w:tr w:rsidR="00D23FAD" w:rsidRPr="00D23FAD" w14:paraId="460892AD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AB82B7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C2A7E2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F574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B31D6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7BA22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</w:tr>
      <w:tr w:rsidR="00D23FAD" w:rsidRPr="00D23FAD" w14:paraId="01F18C15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51EFCEE3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Przychody budżetu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7E0C4B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4E769B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CCE4A3F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1032D6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</w:tr>
      <w:tr w:rsidR="00D23FAD" w:rsidRPr="00D23FAD" w14:paraId="39118139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2A97B5EE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Rozchody budżetu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92B3D1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AD251E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19BC7A7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047443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</w:tr>
      <w:tr w:rsidR="00D23FAD" w:rsidRPr="00D23FAD" w14:paraId="2201661A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F972FDC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Kwota długu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614080E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1 800 000,00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985C1C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1 200 000,00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B66B339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600 000,00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DF66EB1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 xml:space="preserve">0,00 </w:t>
            </w:r>
          </w:p>
        </w:tc>
      </w:tr>
      <w:tr w:rsidR="00D23FAD" w:rsidRPr="00D23FAD" w14:paraId="6CE992A8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AB6B935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EBDDDA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-25,00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AC57D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-33,33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674FB0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-50,00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8CF68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-100,00 </w:t>
            </w:r>
          </w:p>
        </w:tc>
      </w:tr>
      <w:tr w:rsidR="00D23FAD" w:rsidRPr="00D23FAD" w14:paraId="71BD103E" w14:textId="77777777" w:rsidTr="00CB5B61">
        <w:trPr>
          <w:trHeight w:val="72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AC3AFB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Relacja zrównoważenia wydatków bieżących, o której mowa w art. 242 ustawy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F8415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5AC563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5343CE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5CEB55" w14:textId="77777777" w:rsidR="00D23FAD" w:rsidRPr="00D23FAD" w:rsidRDefault="00D23FAD" w:rsidP="00D23FA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x</w:t>
            </w:r>
          </w:p>
        </w:tc>
      </w:tr>
      <w:tr w:rsidR="00D23FAD" w:rsidRPr="00D23FAD" w14:paraId="2A0DE80A" w14:textId="77777777" w:rsidTr="00CB5B61">
        <w:trPr>
          <w:trHeight w:val="72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D250358" w14:textId="77777777" w:rsidR="00D23FAD" w:rsidRPr="00D23FAD" w:rsidRDefault="00D23FAD" w:rsidP="00D23FAD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Różnica między dochodami bieżącymi a  wydatkami bieżącymi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FE4BAC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4 385 062,00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9ACF9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4 655 938,00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D9BB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4 896 781,00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2C3584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5 147 130,00 </w:t>
            </w:r>
          </w:p>
        </w:tc>
      </w:tr>
      <w:tr w:rsidR="00D23FAD" w:rsidRPr="00D23FAD" w14:paraId="402962FA" w14:textId="77777777" w:rsidTr="00CB5B61">
        <w:trPr>
          <w:trHeight w:val="300"/>
        </w:trPr>
        <w:tc>
          <w:tcPr>
            <w:tcW w:w="176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8B8E5D" w14:textId="77777777" w:rsidR="00D23FAD" w:rsidRPr="00D23FAD" w:rsidRDefault="00D23FAD" w:rsidP="00D23FAD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D23FAD">
              <w:rPr>
                <w:rFonts w:ascii="Times New Roman" w:eastAsia="Times New Roman" w:hAnsi="Times New Roman" w:cs="Times New Roman"/>
                <w:i/>
                <w:iCs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8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E1719B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7,29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02FD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6,18 </w:t>
            </w:r>
          </w:p>
        </w:tc>
        <w:tc>
          <w:tcPr>
            <w:tcW w:w="803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C7E735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5,17 </w:t>
            </w:r>
          </w:p>
        </w:tc>
        <w:tc>
          <w:tcPr>
            <w:tcW w:w="81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D9426" w14:textId="77777777" w:rsidR="00D23FAD" w:rsidRPr="00D23FAD" w:rsidRDefault="00D23FAD" w:rsidP="00D23FAD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</w:pPr>
            <w:r w:rsidRPr="00D23FAD">
              <w:rPr>
                <w:rFonts w:ascii="Times New Roman" w:eastAsia="Times New Roman" w:hAnsi="Times New Roman" w:cs="Times New Roman"/>
                <w:color w:val="FF0000"/>
                <w:sz w:val="18"/>
                <w:szCs w:val="18"/>
                <w:lang w:eastAsia="pl-PL"/>
              </w:rPr>
              <w:t xml:space="preserve">5,11 </w:t>
            </w:r>
          </w:p>
        </w:tc>
      </w:tr>
    </w:tbl>
    <w:p w14:paraId="0EC6DD40" w14:textId="77777777" w:rsidR="00D23FAD" w:rsidRDefault="00D23FAD" w:rsidP="00D23FAD"/>
    <w:p w14:paraId="7E229E36" w14:textId="77777777" w:rsidR="00D23FAD" w:rsidRDefault="00D23FAD" w:rsidP="00D23FAD"/>
    <w:p w14:paraId="111C8624" w14:textId="77777777" w:rsidR="004310C3" w:rsidRPr="00236BF5" w:rsidRDefault="0051473B" w:rsidP="00DD2946">
      <w:pPr>
        <w:spacing w:after="0"/>
        <w:rPr>
          <w:i/>
          <w:sz w:val="24"/>
          <w:szCs w:val="24"/>
        </w:rPr>
      </w:pPr>
      <w:r w:rsidRPr="00236BF5">
        <w:rPr>
          <w:i/>
          <w:sz w:val="24"/>
          <w:szCs w:val="24"/>
        </w:rPr>
        <w:lastRenderedPageBreak/>
        <w:t>Prognoza dochodów na lata 20</w:t>
      </w:r>
      <w:r w:rsidR="00CB5B61" w:rsidRPr="00236BF5">
        <w:rPr>
          <w:i/>
          <w:sz w:val="24"/>
          <w:szCs w:val="24"/>
        </w:rPr>
        <w:t>20</w:t>
      </w:r>
      <w:r w:rsidRPr="00236BF5">
        <w:rPr>
          <w:i/>
          <w:sz w:val="24"/>
          <w:szCs w:val="24"/>
        </w:rPr>
        <w:t>-2028 została opracowana przy założeniach:</w:t>
      </w:r>
    </w:p>
    <w:p w14:paraId="0E52C4C2" w14:textId="77777777" w:rsidR="0051473B" w:rsidRPr="00236BF5" w:rsidRDefault="0051473B" w:rsidP="00DD2946">
      <w:pPr>
        <w:spacing w:after="0"/>
        <w:jc w:val="both"/>
        <w:rPr>
          <w:sz w:val="24"/>
          <w:szCs w:val="24"/>
        </w:rPr>
      </w:pPr>
      <w:r w:rsidRPr="00236BF5">
        <w:rPr>
          <w:sz w:val="24"/>
          <w:szCs w:val="24"/>
        </w:rPr>
        <w:t>- rokiem bazowym jest rok 2019,</w:t>
      </w:r>
    </w:p>
    <w:p w14:paraId="18530A5D" w14:textId="77777777" w:rsidR="0051473B" w:rsidRPr="00236BF5" w:rsidRDefault="0051473B" w:rsidP="00DD2946">
      <w:pPr>
        <w:spacing w:after="0" w:line="240" w:lineRule="auto"/>
        <w:jc w:val="both"/>
        <w:rPr>
          <w:sz w:val="24"/>
          <w:szCs w:val="24"/>
        </w:rPr>
      </w:pPr>
      <w:r w:rsidRPr="00236BF5">
        <w:rPr>
          <w:sz w:val="24"/>
          <w:szCs w:val="24"/>
        </w:rPr>
        <w:t>- dochody ogółem na 2019 r. zostały oszacowane jako średnia arytmetyczna z wykonania dochodów za lata 201</w:t>
      </w:r>
      <w:r w:rsidR="00FF1D4C" w:rsidRPr="00236BF5">
        <w:rPr>
          <w:sz w:val="24"/>
          <w:szCs w:val="24"/>
        </w:rPr>
        <w:t>6</w:t>
      </w:r>
      <w:r w:rsidRPr="00236BF5">
        <w:rPr>
          <w:sz w:val="24"/>
          <w:szCs w:val="24"/>
        </w:rPr>
        <w:t>-201</w:t>
      </w:r>
      <w:r w:rsidR="00FF1D4C" w:rsidRPr="00236BF5">
        <w:rPr>
          <w:sz w:val="24"/>
          <w:szCs w:val="24"/>
        </w:rPr>
        <w:t>7</w:t>
      </w:r>
      <w:r w:rsidRPr="00236BF5">
        <w:rPr>
          <w:sz w:val="24"/>
          <w:szCs w:val="24"/>
        </w:rPr>
        <w:t xml:space="preserve"> i </w:t>
      </w:r>
      <w:r w:rsidR="00713910" w:rsidRPr="00236BF5">
        <w:rPr>
          <w:sz w:val="24"/>
          <w:szCs w:val="24"/>
        </w:rPr>
        <w:t xml:space="preserve"> wykonania za 8 miesięcy</w:t>
      </w:r>
      <w:r w:rsidRPr="00236BF5">
        <w:rPr>
          <w:sz w:val="24"/>
          <w:szCs w:val="24"/>
        </w:rPr>
        <w:t xml:space="preserve"> 201</w:t>
      </w:r>
      <w:r w:rsidR="00713910" w:rsidRPr="00236BF5">
        <w:rPr>
          <w:sz w:val="24"/>
          <w:szCs w:val="24"/>
        </w:rPr>
        <w:t>8</w:t>
      </w:r>
      <w:r w:rsidRPr="00236BF5">
        <w:rPr>
          <w:sz w:val="24"/>
          <w:szCs w:val="24"/>
        </w:rPr>
        <w:t xml:space="preserve"> r. powiększon</w:t>
      </w:r>
      <w:r w:rsidR="00896A49" w:rsidRPr="00236BF5">
        <w:rPr>
          <w:sz w:val="24"/>
          <w:szCs w:val="24"/>
        </w:rPr>
        <w:t>e</w:t>
      </w:r>
      <w:r w:rsidRPr="00236BF5">
        <w:rPr>
          <w:sz w:val="24"/>
          <w:szCs w:val="24"/>
        </w:rPr>
        <w:t xml:space="preserve"> o wskaźnik </w:t>
      </w:r>
      <w:r w:rsidR="00713910" w:rsidRPr="00236BF5">
        <w:rPr>
          <w:sz w:val="24"/>
          <w:szCs w:val="24"/>
        </w:rPr>
        <w:t xml:space="preserve">1,67 </w:t>
      </w:r>
      <w:r w:rsidRPr="00236BF5">
        <w:rPr>
          <w:sz w:val="24"/>
          <w:szCs w:val="24"/>
        </w:rPr>
        <w:t>%</w:t>
      </w:r>
      <w:r w:rsidR="00713910" w:rsidRPr="00236BF5">
        <w:rPr>
          <w:sz w:val="24"/>
          <w:szCs w:val="24"/>
        </w:rPr>
        <w:t xml:space="preserve"> dla podatku od nieruchomości i 5% dla podatku od środków transportu</w:t>
      </w:r>
      <w:r w:rsidRPr="00236BF5">
        <w:rPr>
          <w:sz w:val="24"/>
          <w:szCs w:val="24"/>
        </w:rPr>
        <w:t xml:space="preserve">, </w:t>
      </w:r>
    </w:p>
    <w:p w14:paraId="44C15AFD" w14:textId="77777777" w:rsidR="00681FED" w:rsidRPr="00236BF5" w:rsidRDefault="0051473B" w:rsidP="00DD2946">
      <w:pPr>
        <w:spacing w:after="0" w:line="240" w:lineRule="auto"/>
        <w:jc w:val="both"/>
        <w:rPr>
          <w:sz w:val="24"/>
          <w:szCs w:val="24"/>
        </w:rPr>
      </w:pPr>
      <w:r w:rsidRPr="00236BF5">
        <w:rPr>
          <w:sz w:val="24"/>
          <w:szCs w:val="24"/>
        </w:rPr>
        <w:t xml:space="preserve">- </w:t>
      </w:r>
      <w:r w:rsidR="00713910" w:rsidRPr="00236BF5">
        <w:rPr>
          <w:sz w:val="24"/>
          <w:szCs w:val="24"/>
        </w:rPr>
        <w:t>dochody bieżące</w:t>
      </w:r>
      <w:r w:rsidRPr="00236BF5">
        <w:rPr>
          <w:sz w:val="24"/>
          <w:szCs w:val="24"/>
        </w:rPr>
        <w:t xml:space="preserve"> na lata 2020-2028 zostały oszacowane wskaźnikiem od </w:t>
      </w:r>
      <w:r w:rsidR="00713910" w:rsidRPr="00236BF5">
        <w:rPr>
          <w:sz w:val="24"/>
          <w:szCs w:val="24"/>
        </w:rPr>
        <w:t>3,70% w 2020 r.</w:t>
      </w:r>
      <w:r w:rsidRPr="00236BF5">
        <w:rPr>
          <w:sz w:val="24"/>
          <w:szCs w:val="24"/>
        </w:rPr>
        <w:t xml:space="preserve"> do </w:t>
      </w:r>
      <w:r w:rsidR="00713910" w:rsidRPr="00236BF5">
        <w:rPr>
          <w:sz w:val="24"/>
          <w:szCs w:val="24"/>
        </w:rPr>
        <w:t>2,80</w:t>
      </w:r>
      <w:r w:rsidRPr="00236BF5">
        <w:rPr>
          <w:sz w:val="24"/>
          <w:szCs w:val="24"/>
        </w:rPr>
        <w:t xml:space="preserve">% </w:t>
      </w:r>
      <w:r w:rsidR="00713910" w:rsidRPr="00236BF5">
        <w:rPr>
          <w:sz w:val="24"/>
          <w:szCs w:val="24"/>
        </w:rPr>
        <w:t xml:space="preserve">w 2028 r. </w:t>
      </w:r>
      <w:r w:rsidR="00681FED" w:rsidRPr="00236BF5">
        <w:rPr>
          <w:sz w:val="24"/>
          <w:szCs w:val="24"/>
        </w:rPr>
        <w:t xml:space="preserve">(przy dynamice PKB </w:t>
      </w:r>
      <w:r w:rsidR="00713910" w:rsidRPr="00236BF5">
        <w:rPr>
          <w:sz w:val="24"/>
          <w:szCs w:val="24"/>
        </w:rPr>
        <w:t>na lata 2020-2028</w:t>
      </w:r>
      <w:r w:rsidR="00681FED" w:rsidRPr="00236BF5">
        <w:rPr>
          <w:sz w:val="24"/>
          <w:szCs w:val="24"/>
        </w:rPr>
        <w:t>),</w:t>
      </w:r>
    </w:p>
    <w:p w14:paraId="48CC8782" w14:textId="77777777" w:rsidR="00681FED" w:rsidRPr="00236BF5" w:rsidRDefault="00681FED" w:rsidP="00DD2946">
      <w:pPr>
        <w:spacing w:after="0" w:line="240" w:lineRule="auto"/>
        <w:jc w:val="both"/>
        <w:rPr>
          <w:sz w:val="24"/>
          <w:szCs w:val="24"/>
        </w:rPr>
      </w:pPr>
      <w:r w:rsidRPr="00236BF5">
        <w:rPr>
          <w:sz w:val="24"/>
          <w:szCs w:val="24"/>
        </w:rPr>
        <w:t>- dochody ze sprzedaży majątku zostały przyjęte zgodnie z założeniami w zakresie polit</w:t>
      </w:r>
      <w:r w:rsidR="00896A49" w:rsidRPr="00236BF5">
        <w:rPr>
          <w:sz w:val="24"/>
          <w:szCs w:val="24"/>
        </w:rPr>
        <w:t>yki gospodarki nieruchomościami.</w:t>
      </w:r>
      <w:r w:rsidRPr="00236BF5">
        <w:rPr>
          <w:sz w:val="24"/>
          <w:szCs w:val="24"/>
        </w:rPr>
        <w:t xml:space="preserve"> </w:t>
      </w:r>
      <w:r w:rsidR="00896A49" w:rsidRPr="00236BF5">
        <w:rPr>
          <w:sz w:val="24"/>
          <w:szCs w:val="24"/>
        </w:rPr>
        <w:t>W</w:t>
      </w:r>
      <w:r w:rsidRPr="00236BF5">
        <w:rPr>
          <w:sz w:val="24"/>
          <w:szCs w:val="24"/>
        </w:rPr>
        <w:t xml:space="preserve"> latach 20</w:t>
      </w:r>
      <w:r w:rsidR="00713910" w:rsidRPr="00236BF5">
        <w:rPr>
          <w:sz w:val="24"/>
          <w:szCs w:val="24"/>
        </w:rPr>
        <w:t>20</w:t>
      </w:r>
      <w:r w:rsidRPr="00236BF5">
        <w:rPr>
          <w:sz w:val="24"/>
          <w:szCs w:val="24"/>
        </w:rPr>
        <w:t>-202</w:t>
      </w:r>
      <w:r w:rsidR="00713910" w:rsidRPr="00236BF5">
        <w:rPr>
          <w:sz w:val="24"/>
          <w:szCs w:val="24"/>
        </w:rPr>
        <w:t>8</w:t>
      </w:r>
      <w:r w:rsidRPr="00236BF5">
        <w:rPr>
          <w:sz w:val="24"/>
          <w:szCs w:val="24"/>
        </w:rPr>
        <w:t xml:space="preserve"> nie planuje się sprzedaży mienia gminy,</w:t>
      </w:r>
    </w:p>
    <w:p w14:paraId="697759C5" w14:textId="77777777" w:rsidR="00681FED" w:rsidRPr="00236BF5" w:rsidRDefault="00681FED" w:rsidP="00DD2946">
      <w:pPr>
        <w:spacing w:after="0" w:line="240" w:lineRule="auto"/>
        <w:jc w:val="both"/>
        <w:rPr>
          <w:sz w:val="24"/>
          <w:szCs w:val="24"/>
        </w:rPr>
      </w:pPr>
      <w:r w:rsidRPr="00236BF5">
        <w:rPr>
          <w:sz w:val="24"/>
          <w:szCs w:val="24"/>
        </w:rPr>
        <w:t xml:space="preserve">- pozostałe dochody majątkowe stanowią planowane kwoty związane z uzyskaniem dofinansowania inwestycji ze środków pomocowych. </w:t>
      </w:r>
    </w:p>
    <w:p w14:paraId="22BBC8B7" w14:textId="77777777" w:rsidR="00681FED" w:rsidRPr="00236BF5" w:rsidRDefault="00681FED" w:rsidP="00DD2946">
      <w:pPr>
        <w:spacing w:after="0" w:line="240" w:lineRule="auto"/>
        <w:jc w:val="both"/>
        <w:rPr>
          <w:i/>
          <w:sz w:val="24"/>
          <w:szCs w:val="24"/>
        </w:rPr>
      </w:pPr>
      <w:r w:rsidRPr="00236BF5">
        <w:rPr>
          <w:i/>
          <w:sz w:val="24"/>
          <w:szCs w:val="24"/>
        </w:rPr>
        <w:t>Prognoza wydatków na lata 20</w:t>
      </w:r>
      <w:r w:rsidR="00713910" w:rsidRPr="00236BF5">
        <w:rPr>
          <w:i/>
          <w:sz w:val="24"/>
          <w:szCs w:val="24"/>
        </w:rPr>
        <w:t>20</w:t>
      </w:r>
      <w:r w:rsidRPr="00236BF5">
        <w:rPr>
          <w:i/>
          <w:sz w:val="24"/>
          <w:szCs w:val="24"/>
        </w:rPr>
        <w:t>-2028 została opracowana przy założeniach:</w:t>
      </w:r>
    </w:p>
    <w:p w14:paraId="190FC869" w14:textId="77777777" w:rsidR="00681FED" w:rsidRPr="00236BF5" w:rsidRDefault="00681FED" w:rsidP="00DD2946">
      <w:pPr>
        <w:spacing w:after="0" w:line="240" w:lineRule="auto"/>
        <w:jc w:val="both"/>
        <w:rPr>
          <w:sz w:val="24"/>
          <w:szCs w:val="24"/>
        </w:rPr>
      </w:pPr>
      <w:r w:rsidRPr="00236BF5">
        <w:rPr>
          <w:sz w:val="24"/>
          <w:szCs w:val="24"/>
        </w:rPr>
        <w:t>- rokiem bazowym jest rok 2019,</w:t>
      </w:r>
    </w:p>
    <w:p w14:paraId="0D8812E7" w14:textId="77777777" w:rsidR="00681FED" w:rsidRPr="00236BF5" w:rsidRDefault="00681FED" w:rsidP="00DD2946">
      <w:pPr>
        <w:spacing w:after="0" w:line="240" w:lineRule="auto"/>
        <w:jc w:val="both"/>
        <w:rPr>
          <w:sz w:val="24"/>
          <w:szCs w:val="24"/>
        </w:rPr>
      </w:pPr>
      <w:r w:rsidRPr="00236BF5">
        <w:rPr>
          <w:sz w:val="24"/>
          <w:szCs w:val="24"/>
        </w:rPr>
        <w:t xml:space="preserve">- </w:t>
      </w:r>
      <w:r w:rsidR="00894676" w:rsidRPr="00236BF5">
        <w:rPr>
          <w:sz w:val="24"/>
          <w:szCs w:val="24"/>
        </w:rPr>
        <w:t xml:space="preserve">wydatki bieżące w latach 2020-2028 oszacowano wskaźnikiem </w:t>
      </w:r>
      <w:r w:rsidR="00713910" w:rsidRPr="00236BF5">
        <w:rPr>
          <w:sz w:val="24"/>
          <w:szCs w:val="24"/>
        </w:rPr>
        <w:t>założonej inflacji w latach 2020-2028</w:t>
      </w:r>
      <w:r w:rsidR="00896A49" w:rsidRPr="00236BF5">
        <w:rPr>
          <w:sz w:val="24"/>
          <w:szCs w:val="24"/>
        </w:rPr>
        <w:t>,</w:t>
      </w:r>
    </w:p>
    <w:p w14:paraId="3849E895" w14:textId="77777777" w:rsidR="004310C3" w:rsidRPr="00236BF5" w:rsidRDefault="00894676" w:rsidP="00DD2946">
      <w:pPr>
        <w:spacing w:line="240" w:lineRule="auto"/>
        <w:jc w:val="both"/>
        <w:rPr>
          <w:sz w:val="24"/>
          <w:szCs w:val="24"/>
        </w:rPr>
      </w:pPr>
      <w:r w:rsidRPr="00236BF5">
        <w:rPr>
          <w:sz w:val="24"/>
          <w:szCs w:val="24"/>
        </w:rPr>
        <w:t>- wydatki majątkowe wynikają z założeń planu inwestycyjnego</w:t>
      </w:r>
      <w:r w:rsidR="00236BF5" w:rsidRPr="00236BF5">
        <w:rPr>
          <w:sz w:val="24"/>
          <w:szCs w:val="24"/>
        </w:rPr>
        <w:t xml:space="preserve"> i strategii rozwoju gminy</w:t>
      </w:r>
      <w:r w:rsidRPr="00236BF5">
        <w:rPr>
          <w:sz w:val="24"/>
          <w:szCs w:val="24"/>
        </w:rPr>
        <w:t xml:space="preserve">. </w:t>
      </w:r>
    </w:p>
    <w:p w14:paraId="066C6C9B" w14:textId="77777777" w:rsidR="00894676" w:rsidRPr="00236BF5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236BF5">
        <w:rPr>
          <w:rFonts w:cstheme="minorHAnsi"/>
          <w:sz w:val="24"/>
          <w:szCs w:val="24"/>
        </w:rPr>
        <w:t>W roku 201</w:t>
      </w:r>
      <w:r w:rsidR="00236BF5" w:rsidRPr="00236BF5">
        <w:rPr>
          <w:rFonts w:cstheme="minorHAnsi"/>
          <w:sz w:val="24"/>
          <w:szCs w:val="24"/>
        </w:rPr>
        <w:t>9</w:t>
      </w:r>
      <w:r w:rsidRPr="00236BF5">
        <w:rPr>
          <w:rFonts w:cstheme="minorHAnsi"/>
          <w:sz w:val="24"/>
          <w:szCs w:val="24"/>
        </w:rPr>
        <w:t xml:space="preserve"> i latach następnych podejmowane będą działania polegające na </w:t>
      </w:r>
      <w:r w:rsidR="00236BF5" w:rsidRPr="00236BF5">
        <w:rPr>
          <w:rFonts w:cstheme="minorHAnsi"/>
          <w:sz w:val="24"/>
          <w:szCs w:val="24"/>
        </w:rPr>
        <w:t>utrzymaniu</w:t>
      </w:r>
      <w:r w:rsidRPr="00236BF5">
        <w:rPr>
          <w:rFonts w:cstheme="minorHAnsi"/>
          <w:sz w:val="24"/>
          <w:szCs w:val="24"/>
        </w:rPr>
        <w:t xml:space="preserve"> dyscypliny budżetowej poprzez stałe monitorowanie wydatków bieżących i nadwyżki operacyjnej oraz ograniczaniu wydatków fakultatywnych.</w:t>
      </w:r>
    </w:p>
    <w:p w14:paraId="088F2CEF" w14:textId="77777777" w:rsidR="00894676" w:rsidRPr="00236BF5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236BF5">
        <w:rPr>
          <w:rFonts w:cstheme="minorHAnsi"/>
          <w:sz w:val="24"/>
          <w:szCs w:val="24"/>
        </w:rPr>
        <w:t>Dostosowaniu wydatków bieżących do ograniczonych możliwości finansowych będą służyć działania zwiększające efektywność wydatkowanych środków w każdej dziedzinie.</w:t>
      </w:r>
    </w:p>
    <w:p w14:paraId="77BB9042" w14:textId="77777777" w:rsidR="00F46626" w:rsidRPr="00A76E67" w:rsidRDefault="00F46626" w:rsidP="00DD2946">
      <w:pPr>
        <w:pStyle w:val="Nagwek1"/>
        <w:spacing w:line="240" w:lineRule="auto"/>
        <w:rPr>
          <w:rFonts w:asciiTheme="minorHAnsi" w:hAnsiTheme="minorHAnsi" w:cstheme="minorHAnsi"/>
          <w:color w:val="auto"/>
          <w:sz w:val="24"/>
          <w:szCs w:val="24"/>
        </w:rPr>
      </w:pPr>
      <w:r w:rsidRPr="00A76E67">
        <w:rPr>
          <w:rFonts w:asciiTheme="minorHAnsi" w:hAnsiTheme="minorHAnsi" w:cstheme="minorHAnsi"/>
          <w:color w:val="auto"/>
          <w:sz w:val="24"/>
          <w:szCs w:val="24"/>
        </w:rPr>
        <w:t>WYDATKI NA WYNAGRODZENIA I SKŁADKI OD NICH NALICZONE</w:t>
      </w:r>
    </w:p>
    <w:p w14:paraId="719A2018" w14:textId="77777777" w:rsidR="00F46626" w:rsidRPr="00A76E67" w:rsidRDefault="00F4662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40CE3D1E" w14:textId="77777777" w:rsidR="00894676" w:rsidRPr="00A76E67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A76E67">
        <w:rPr>
          <w:rFonts w:cstheme="minorHAnsi"/>
          <w:sz w:val="24"/>
          <w:szCs w:val="24"/>
        </w:rPr>
        <w:t xml:space="preserve">Wydatki na wynagrodzenia i pochodne od wynagrodzeń stanowią około </w:t>
      </w:r>
      <w:r w:rsidR="00236BF5" w:rsidRPr="00A76E67">
        <w:rPr>
          <w:rFonts w:cstheme="minorHAnsi"/>
          <w:sz w:val="24"/>
          <w:szCs w:val="24"/>
        </w:rPr>
        <w:t>27</w:t>
      </w:r>
      <w:r w:rsidRPr="00A76E67">
        <w:rPr>
          <w:rFonts w:cstheme="minorHAnsi"/>
          <w:sz w:val="24"/>
          <w:szCs w:val="24"/>
        </w:rPr>
        <w:t xml:space="preserve">% wydatków </w:t>
      </w:r>
      <w:r w:rsidR="00236BF5" w:rsidRPr="00A76E67">
        <w:rPr>
          <w:rFonts w:cstheme="minorHAnsi"/>
          <w:sz w:val="24"/>
          <w:szCs w:val="24"/>
        </w:rPr>
        <w:t>ogółem i 38% wydatków bieżących</w:t>
      </w:r>
      <w:r w:rsidRPr="00A76E67">
        <w:rPr>
          <w:rFonts w:cstheme="minorHAnsi"/>
          <w:sz w:val="24"/>
          <w:szCs w:val="24"/>
        </w:rPr>
        <w:t>.</w:t>
      </w:r>
      <w:r w:rsidR="00F46626" w:rsidRPr="00A76E67">
        <w:rPr>
          <w:rFonts w:cstheme="minorHAnsi"/>
          <w:sz w:val="24"/>
          <w:szCs w:val="24"/>
        </w:rPr>
        <w:t xml:space="preserve"> </w:t>
      </w:r>
      <w:r w:rsidRPr="00A76E67">
        <w:rPr>
          <w:rFonts w:cstheme="minorHAnsi"/>
          <w:sz w:val="24"/>
          <w:szCs w:val="24"/>
        </w:rPr>
        <w:t>Wysokość środków kalkulowanych na tę grupę wydatków zależy od liczby etatów oraz średniej płacy.</w:t>
      </w:r>
    </w:p>
    <w:p w14:paraId="430B803D" w14:textId="77777777" w:rsidR="00894676" w:rsidRDefault="00894676" w:rsidP="00F46626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  <w:r w:rsidRPr="00A76E67">
        <w:rPr>
          <w:rFonts w:cstheme="minorHAnsi"/>
          <w:sz w:val="24"/>
          <w:szCs w:val="24"/>
        </w:rPr>
        <w:t xml:space="preserve">W prognozie założono, że w latach objętych prognozą roku nie będzie istotnych zmian organizacyjnych powodujących zwiększenie liczby etatów. Przyjęto, że wydatki na wynagrodzenia i składki od nich naliczane będą </w:t>
      </w:r>
      <w:r w:rsidR="00F46626" w:rsidRPr="00A76E67">
        <w:rPr>
          <w:rFonts w:cstheme="minorHAnsi"/>
          <w:sz w:val="24"/>
          <w:szCs w:val="24"/>
        </w:rPr>
        <w:t xml:space="preserve">wzrastać </w:t>
      </w:r>
      <w:r w:rsidR="00A76E67" w:rsidRPr="00A76E67">
        <w:rPr>
          <w:rFonts w:cstheme="minorHAnsi"/>
          <w:sz w:val="24"/>
          <w:szCs w:val="24"/>
        </w:rPr>
        <w:t>od</w:t>
      </w:r>
      <w:r w:rsidR="00F46626" w:rsidRPr="00A76E67">
        <w:rPr>
          <w:rFonts w:cstheme="minorHAnsi"/>
          <w:sz w:val="24"/>
          <w:szCs w:val="24"/>
        </w:rPr>
        <w:t xml:space="preserve"> 2</w:t>
      </w:r>
      <w:r w:rsidR="00A76E67" w:rsidRPr="00A76E67">
        <w:rPr>
          <w:rFonts w:cstheme="minorHAnsi"/>
          <w:sz w:val="24"/>
          <w:szCs w:val="24"/>
        </w:rPr>
        <w:t>,10</w:t>
      </w:r>
      <w:r w:rsidR="00F46626" w:rsidRPr="00A76E67">
        <w:rPr>
          <w:rFonts w:cstheme="minorHAnsi"/>
          <w:sz w:val="24"/>
          <w:szCs w:val="24"/>
        </w:rPr>
        <w:t>%</w:t>
      </w:r>
      <w:r w:rsidR="00A76E67" w:rsidRPr="00A76E67">
        <w:rPr>
          <w:rFonts w:cstheme="minorHAnsi"/>
          <w:sz w:val="24"/>
          <w:szCs w:val="24"/>
        </w:rPr>
        <w:t xml:space="preserve"> w 2020 r. do 3,10% w 2028r</w:t>
      </w:r>
      <w:r w:rsidR="00F46626" w:rsidRPr="00A76E67">
        <w:rPr>
          <w:rFonts w:cstheme="minorHAnsi"/>
          <w:sz w:val="24"/>
          <w:szCs w:val="24"/>
        </w:rPr>
        <w:t>.</w:t>
      </w:r>
      <w:r w:rsidR="003267C1">
        <w:rPr>
          <w:rFonts w:cstheme="minorHAnsi"/>
          <w:sz w:val="24"/>
          <w:szCs w:val="24"/>
        </w:rPr>
        <w:t xml:space="preserve"> (wg </w:t>
      </w:r>
      <w:r w:rsidR="003267C1" w:rsidRPr="003267C1">
        <w:rPr>
          <w:rFonts w:cstheme="minorHAnsi"/>
          <w:sz w:val="24"/>
          <w:szCs w:val="24"/>
        </w:rPr>
        <w:t xml:space="preserve">dynamika realnego wynagrodzenia brutto w gospodarce narodowej w %) </w:t>
      </w:r>
    </w:p>
    <w:p w14:paraId="2B4383EC" w14:textId="77777777" w:rsidR="00A76E67" w:rsidRPr="003267C1" w:rsidRDefault="00A76E67" w:rsidP="00A76E67">
      <w:pPr>
        <w:pStyle w:val="Legenda"/>
        <w:rPr>
          <w:rFonts w:cstheme="minorHAnsi"/>
          <w:color w:val="auto"/>
          <w:sz w:val="22"/>
          <w:szCs w:val="22"/>
        </w:rPr>
      </w:pPr>
      <w:r w:rsidRPr="00A76E67">
        <w:rPr>
          <w:rFonts w:cstheme="minorHAnsi"/>
          <w:color w:val="auto"/>
          <w:sz w:val="22"/>
          <w:szCs w:val="22"/>
        </w:rPr>
        <w:t>Tabela</w:t>
      </w:r>
      <w:r w:rsidRPr="003267C1">
        <w:rPr>
          <w:rFonts w:cstheme="minorHAnsi"/>
          <w:color w:val="auto"/>
          <w:sz w:val="22"/>
          <w:szCs w:val="22"/>
        </w:rPr>
        <w:t xml:space="preserve"> nr 5. Dynamika wynagrodzeń w latach 20</w:t>
      </w:r>
      <w:r w:rsidR="003267C1">
        <w:rPr>
          <w:rFonts w:cstheme="minorHAnsi"/>
          <w:color w:val="auto"/>
          <w:sz w:val="22"/>
          <w:szCs w:val="22"/>
        </w:rPr>
        <w:t>19</w:t>
      </w:r>
      <w:r w:rsidRPr="003267C1">
        <w:rPr>
          <w:rFonts w:cstheme="minorHAnsi"/>
          <w:color w:val="auto"/>
          <w:sz w:val="22"/>
          <w:szCs w:val="22"/>
        </w:rPr>
        <w:t xml:space="preserve"> – 2028.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39"/>
        <w:gridCol w:w="2539"/>
        <w:gridCol w:w="1459"/>
        <w:gridCol w:w="1459"/>
        <w:gridCol w:w="1459"/>
        <w:gridCol w:w="1457"/>
      </w:tblGrid>
      <w:tr w:rsidR="003267C1" w:rsidRPr="003267C1" w14:paraId="6431E054" w14:textId="77777777" w:rsidTr="003267C1">
        <w:trPr>
          <w:trHeight w:val="285"/>
        </w:trPr>
        <w:tc>
          <w:tcPr>
            <w:tcW w:w="45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828AD74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1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B93283D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Wyszczególnienie</w:t>
            </w:r>
          </w:p>
        </w:tc>
        <w:tc>
          <w:tcPr>
            <w:tcW w:w="7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7B719E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2019</w:t>
            </w:r>
          </w:p>
        </w:tc>
        <w:tc>
          <w:tcPr>
            <w:tcW w:w="7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5C2A2D9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2020</w:t>
            </w:r>
          </w:p>
        </w:tc>
        <w:tc>
          <w:tcPr>
            <w:tcW w:w="7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EE409C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2021</w:t>
            </w:r>
          </w:p>
        </w:tc>
        <w:tc>
          <w:tcPr>
            <w:tcW w:w="7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D31A273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2022</w:t>
            </w:r>
          </w:p>
        </w:tc>
      </w:tr>
      <w:tr w:rsidR="003267C1" w:rsidRPr="003267C1" w14:paraId="477CCB0E" w14:textId="77777777" w:rsidTr="003267C1">
        <w:trPr>
          <w:trHeight w:val="532"/>
        </w:trPr>
        <w:tc>
          <w:tcPr>
            <w:tcW w:w="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77EC73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11.1</w:t>
            </w:r>
          </w:p>
        </w:tc>
        <w:tc>
          <w:tcPr>
            <w:tcW w:w="137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B6F43B" w14:textId="77777777" w:rsidR="003267C1" w:rsidRPr="003267C1" w:rsidRDefault="003267C1" w:rsidP="003267C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Wydatki bieżące na wynagrodzenia i składki od nich naliczane</w:t>
            </w:r>
          </w:p>
        </w:tc>
        <w:tc>
          <w:tcPr>
            <w:tcW w:w="7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C47053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11 842 921,00 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5E16A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12 186 365,71 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75815E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12 539 770,31 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F0AF2A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12 903 423,65 </w:t>
            </w:r>
          </w:p>
        </w:tc>
      </w:tr>
      <w:tr w:rsidR="003267C1" w:rsidRPr="003267C1" w14:paraId="6FF8E400" w14:textId="77777777" w:rsidTr="003267C1">
        <w:trPr>
          <w:trHeight w:val="435"/>
        </w:trPr>
        <w:tc>
          <w:tcPr>
            <w:tcW w:w="45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986A809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37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5DE933D7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poprz</w:t>
            </w:r>
            <w:proofErr w:type="spellEnd"/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6769F63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FCD8277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2,90 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A12DF7B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2,90 </w:t>
            </w:r>
          </w:p>
        </w:tc>
        <w:tc>
          <w:tcPr>
            <w:tcW w:w="7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11439C4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2,90 </w:t>
            </w:r>
          </w:p>
        </w:tc>
      </w:tr>
    </w:tbl>
    <w:p w14:paraId="3A4FBF00" w14:textId="77777777" w:rsidR="00A76E67" w:rsidRDefault="00A76E67" w:rsidP="00F46626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55"/>
        <w:gridCol w:w="1707"/>
        <w:gridCol w:w="1175"/>
        <w:gridCol w:w="1175"/>
        <w:gridCol w:w="1175"/>
        <w:gridCol w:w="1175"/>
        <w:gridCol w:w="1175"/>
        <w:gridCol w:w="1175"/>
      </w:tblGrid>
      <w:tr w:rsidR="003267C1" w:rsidRPr="003267C1" w14:paraId="0ABF0A6F" w14:textId="77777777" w:rsidTr="003267C1">
        <w:trPr>
          <w:trHeight w:val="285"/>
        </w:trPr>
        <w:tc>
          <w:tcPr>
            <w:tcW w:w="34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05F252A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104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217EA4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Wyszczególnienie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904573D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2023</w:t>
            </w:r>
          </w:p>
        </w:tc>
        <w:tc>
          <w:tcPr>
            <w:tcW w:w="6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69363CE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2024</w:t>
            </w:r>
          </w:p>
        </w:tc>
        <w:tc>
          <w:tcPr>
            <w:tcW w:w="6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F68827E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2025</w:t>
            </w:r>
          </w:p>
        </w:tc>
        <w:tc>
          <w:tcPr>
            <w:tcW w:w="6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4762FF81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2026</w:t>
            </w:r>
          </w:p>
        </w:tc>
        <w:tc>
          <w:tcPr>
            <w:tcW w:w="6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BF0C8A3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2027</w:t>
            </w:r>
          </w:p>
        </w:tc>
        <w:tc>
          <w:tcPr>
            <w:tcW w:w="6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4DE7B7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pl-PL"/>
              </w:rPr>
              <w:t>2028</w:t>
            </w:r>
          </w:p>
        </w:tc>
      </w:tr>
      <w:tr w:rsidR="003267C1" w:rsidRPr="003267C1" w14:paraId="1E2C9A71" w14:textId="77777777" w:rsidTr="003267C1">
        <w:trPr>
          <w:trHeight w:val="1080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000B94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11.1</w:t>
            </w:r>
          </w:p>
        </w:tc>
        <w:tc>
          <w:tcPr>
            <w:tcW w:w="1047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2C92301" w14:textId="77777777" w:rsidR="003267C1" w:rsidRPr="003267C1" w:rsidRDefault="003267C1" w:rsidP="003267C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Wydatki bieżące na wynagrodzenia i składki od nich naliczane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50A8F7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13 303 429,79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6EF022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13 715 836,11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FF317A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14 141 027,03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19E918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14 579 398,87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FF40A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15 031 360,23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1217ED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15 497 332,40 </w:t>
            </w:r>
          </w:p>
        </w:tc>
      </w:tr>
      <w:tr w:rsidR="003267C1" w:rsidRPr="003267C1" w14:paraId="0BA10C60" w14:textId="77777777" w:rsidTr="003267C1">
        <w:trPr>
          <w:trHeight w:val="435"/>
        </w:trPr>
        <w:tc>
          <w:tcPr>
            <w:tcW w:w="34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02DB57F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047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49897CF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poprz</w:t>
            </w:r>
            <w:proofErr w:type="spellEnd"/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D04D5C3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D897374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D1F0C46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B2698D2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2C17D64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01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3F43BA5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3,10 </w:t>
            </w:r>
          </w:p>
        </w:tc>
      </w:tr>
    </w:tbl>
    <w:p w14:paraId="3C6473C6" w14:textId="77777777" w:rsidR="00F46626" w:rsidRPr="003267C1" w:rsidRDefault="00F46626" w:rsidP="00F46626">
      <w:pPr>
        <w:pStyle w:val="Nagwek1"/>
        <w:rPr>
          <w:rFonts w:asciiTheme="minorHAnsi" w:hAnsiTheme="minorHAnsi" w:cstheme="minorHAnsi"/>
          <w:color w:val="auto"/>
          <w:sz w:val="24"/>
          <w:szCs w:val="24"/>
        </w:rPr>
      </w:pPr>
      <w:r w:rsidRPr="003267C1">
        <w:rPr>
          <w:rFonts w:asciiTheme="minorHAnsi" w:hAnsiTheme="minorHAnsi" w:cstheme="minorHAnsi"/>
          <w:color w:val="auto"/>
          <w:sz w:val="24"/>
          <w:szCs w:val="24"/>
        </w:rPr>
        <w:lastRenderedPageBreak/>
        <w:t>WYDATKI ZWIĄZANE Z FUNKCJONOWANIEM ORGANÓW JST</w:t>
      </w:r>
    </w:p>
    <w:p w14:paraId="74BA55E8" w14:textId="77777777" w:rsidR="00F46626" w:rsidRPr="003267C1" w:rsidRDefault="00F46626" w:rsidP="00F46626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</w:p>
    <w:p w14:paraId="2B7EA376" w14:textId="77777777" w:rsidR="00894676" w:rsidRDefault="00894676" w:rsidP="00F46626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  <w:r w:rsidRPr="003267C1">
        <w:rPr>
          <w:rFonts w:cstheme="minorHAnsi"/>
          <w:sz w:val="24"/>
          <w:szCs w:val="24"/>
        </w:rPr>
        <w:t>Wydatki związane z funkcjonowaniem organów obejmują finansowanie kosztów Rady Gminy, Wójta Gminy i Urzędu Gminy. Planowane w projekcie budżetu wydatki na funkcjonowanie organów wynoszą od</w:t>
      </w:r>
      <w:r w:rsidR="00DD2946" w:rsidRPr="003267C1">
        <w:rPr>
          <w:rFonts w:cstheme="minorHAnsi"/>
          <w:sz w:val="24"/>
          <w:szCs w:val="24"/>
        </w:rPr>
        <w:t xml:space="preserve"> </w:t>
      </w:r>
      <w:r w:rsidR="003267C1" w:rsidRPr="003267C1">
        <w:rPr>
          <w:rFonts w:cstheme="minorHAnsi"/>
          <w:sz w:val="24"/>
          <w:szCs w:val="24"/>
        </w:rPr>
        <w:t>4,1</w:t>
      </w:r>
      <w:r w:rsidRPr="003267C1">
        <w:rPr>
          <w:rFonts w:cstheme="minorHAnsi"/>
          <w:sz w:val="24"/>
          <w:szCs w:val="24"/>
        </w:rPr>
        <w:t xml:space="preserve"> mln zł do </w:t>
      </w:r>
      <w:r w:rsidR="003267C1" w:rsidRPr="003267C1">
        <w:rPr>
          <w:rFonts w:cstheme="minorHAnsi"/>
          <w:sz w:val="24"/>
          <w:szCs w:val="24"/>
        </w:rPr>
        <w:t>5,3</w:t>
      </w:r>
      <w:r w:rsidRPr="003267C1">
        <w:rPr>
          <w:rFonts w:cstheme="minorHAnsi"/>
          <w:sz w:val="24"/>
          <w:szCs w:val="24"/>
        </w:rPr>
        <w:t xml:space="preserve"> mln zł. </w:t>
      </w:r>
      <w:r w:rsidR="003B46EE" w:rsidRPr="003267C1">
        <w:rPr>
          <w:rFonts w:cstheme="minorHAnsi"/>
          <w:sz w:val="24"/>
          <w:szCs w:val="24"/>
        </w:rPr>
        <w:t>Przyjęto wskaźnik wzrostu</w:t>
      </w:r>
      <w:r w:rsidR="003B46EE" w:rsidRPr="003267C1">
        <w:rPr>
          <w:rFonts w:cstheme="minorHAnsi"/>
          <w:sz w:val="24"/>
          <w:szCs w:val="24"/>
        </w:rPr>
        <w:br/>
      </w:r>
      <w:r w:rsidR="00F46626" w:rsidRPr="003267C1">
        <w:rPr>
          <w:rFonts w:cstheme="minorHAnsi"/>
          <w:sz w:val="24"/>
          <w:szCs w:val="24"/>
        </w:rPr>
        <w:t>z roku na ro</w:t>
      </w:r>
      <w:r w:rsidR="00DD2946" w:rsidRPr="003267C1">
        <w:rPr>
          <w:rFonts w:cstheme="minorHAnsi"/>
          <w:sz w:val="24"/>
          <w:szCs w:val="24"/>
        </w:rPr>
        <w:t>k</w:t>
      </w:r>
      <w:r w:rsidR="00F46626" w:rsidRPr="003267C1">
        <w:rPr>
          <w:rFonts w:cstheme="minorHAnsi"/>
          <w:sz w:val="24"/>
          <w:szCs w:val="24"/>
        </w:rPr>
        <w:t xml:space="preserve">  </w:t>
      </w:r>
      <w:r w:rsidR="003267C1" w:rsidRPr="003267C1">
        <w:rPr>
          <w:rFonts w:cstheme="minorHAnsi"/>
          <w:sz w:val="24"/>
          <w:szCs w:val="24"/>
        </w:rPr>
        <w:t>wg dynamiki realnego wynagrodzenia brutto w gospodarce narodowej.</w:t>
      </w:r>
    </w:p>
    <w:p w14:paraId="3451BB36" w14:textId="77777777" w:rsidR="003267C1" w:rsidRDefault="003267C1" w:rsidP="00F46626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</w:p>
    <w:p w14:paraId="3E87DC30" w14:textId="77777777" w:rsidR="003267C1" w:rsidRPr="003267C1" w:rsidRDefault="003267C1" w:rsidP="003267C1">
      <w:pPr>
        <w:pStyle w:val="Legenda"/>
        <w:jc w:val="both"/>
        <w:rPr>
          <w:rFonts w:cstheme="minorHAnsi"/>
          <w:color w:val="auto"/>
          <w:sz w:val="22"/>
          <w:szCs w:val="22"/>
        </w:rPr>
      </w:pPr>
      <w:r w:rsidRPr="00A76E67">
        <w:rPr>
          <w:rFonts w:cstheme="minorHAnsi"/>
          <w:color w:val="auto"/>
          <w:sz w:val="22"/>
          <w:szCs w:val="22"/>
        </w:rPr>
        <w:t>Tabela</w:t>
      </w:r>
      <w:r w:rsidRPr="003267C1">
        <w:rPr>
          <w:rFonts w:cstheme="minorHAnsi"/>
          <w:color w:val="auto"/>
          <w:sz w:val="22"/>
          <w:szCs w:val="22"/>
        </w:rPr>
        <w:t xml:space="preserve"> nr </w:t>
      </w:r>
      <w:r>
        <w:rPr>
          <w:rFonts w:cstheme="minorHAnsi"/>
          <w:color w:val="auto"/>
          <w:sz w:val="22"/>
          <w:szCs w:val="22"/>
        </w:rPr>
        <w:t>6</w:t>
      </w:r>
      <w:r w:rsidRPr="003267C1">
        <w:rPr>
          <w:rFonts w:cstheme="minorHAnsi"/>
          <w:color w:val="auto"/>
          <w:sz w:val="22"/>
          <w:szCs w:val="22"/>
        </w:rPr>
        <w:t xml:space="preserve">. Dynamika </w:t>
      </w:r>
      <w:r>
        <w:rPr>
          <w:rFonts w:cstheme="minorHAnsi"/>
          <w:color w:val="auto"/>
          <w:sz w:val="22"/>
          <w:szCs w:val="22"/>
        </w:rPr>
        <w:t xml:space="preserve">wydatków związanych z funkcjonowaniem organów </w:t>
      </w:r>
      <w:proofErr w:type="spellStart"/>
      <w:r>
        <w:rPr>
          <w:rFonts w:cstheme="minorHAnsi"/>
          <w:color w:val="auto"/>
          <w:sz w:val="22"/>
          <w:szCs w:val="22"/>
        </w:rPr>
        <w:t>jst</w:t>
      </w:r>
      <w:proofErr w:type="spellEnd"/>
      <w:r>
        <w:rPr>
          <w:rFonts w:cstheme="minorHAnsi"/>
          <w:color w:val="auto"/>
          <w:sz w:val="22"/>
          <w:szCs w:val="22"/>
        </w:rPr>
        <w:t xml:space="preserve"> </w:t>
      </w:r>
      <w:r w:rsidRPr="003267C1">
        <w:rPr>
          <w:rFonts w:cstheme="minorHAnsi"/>
          <w:color w:val="auto"/>
          <w:sz w:val="22"/>
          <w:szCs w:val="22"/>
        </w:rPr>
        <w:t xml:space="preserve"> w latach 20</w:t>
      </w:r>
      <w:r>
        <w:rPr>
          <w:rFonts w:cstheme="minorHAnsi"/>
          <w:color w:val="auto"/>
          <w:sz w:val="22"/>
          <w:szCs w:val="22"/>
        </w:rPr>
        <w:t>19</w:t>
      </w:r>
      <w:r w:rsidRPr="003267C1">
        <w:rPr>
          <w:rFonts w:cstheme="minorHAnsi"/>
          <w:color w:val="auto"/>
          <w:sz w:val="22"/>
          <w:szCs w:val="22"/>
        </w:rPr>
        <w:t xml:space="preserve"> – 2028.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3"/>
        <w:gridCol w:w="2192"/>
        <w:gridCol w:w="1260"/>
        <w:gridCol w:w="1260"/>
        <w:gridCol w:w="1260"/>
        <w:gridCol w:w="1260"/>
        <w:gridCol w:w="1257"/>
      </w:tblGrid>
      <w:tr w:rsidR="003267C1" w:rsidRPr="003267C1" w14:paraId="37CCA31A" w14:textId="77777777" w:rsidTr="003267C1">
        <w:trPr>
          <w:trHeight w:val="285"/>
        </w:trPr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D16E18B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Lp.</w:t>
            </w:r>
          </w:p>
        </w:tc>
        <w:tc>
          <w:tcPr>
            <w:tcW w:w="11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1D795F7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Wyszczególnienie</w:t>
            </w:r>
          </w:p>
        </w:tc>
        <w:tc>
          <w:tcPr>
            <w:tcW w:w="6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76A12A53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2019</w:t>
            </w:r>
          </w:p>
        </w:tc>
        <w:tc>
          <w:tcPr>
            <w:tcW w:w="6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FE1AD43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2020</w:t>
            </w:r>
          </w:p>
        </w:tc>
        <w:tc>
          <w:tcPr>
            <w:tcW w:w="6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FC0A79A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2021</w:t>
            </w:r>
          </w:p>
        </w:tc>
        <w:tc>
          <w:tcPr>
            <w:tcW w:w="6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0CEA84A2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2022</w:t>
            </w:r>
          </w:p>
        </w:tc>
        <w:tc>
          <w:tcPr>
            <w:tcW w:w="6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BEEEB7C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2023</w:t>
            </w:r>
          </w:p>
        </w:tc>
      </w:tr>
      <w:tr w:rsidR="003267C1" w:rsidRPr="003267C1" w14:paraId="13E710FF" w14:textId="77777777" w:rsidTr="003267C1">
        <w:trPr>
          <w:trHeight w:val="983"/>
        </w:trPr>
        <w:tc>
          <w:tcPr>
            <w:tcW w:w="3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99F8FB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11.2</w:t>
            </w:r>
          </w:p>
        </w:tc>
        <w:tc>
          <w:tcPr>
            <w:tcW w:w="11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F19B88" w14:textId="77777777" w:rsidR="003267C1" w:rsidRPr="003267C1" w:rsidRDefault="003267C1" w:rsidP="003267C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Wydatki związane z funkcjonowaniem organów jednostki samorządu terytorialnego</w:t>
            </w:r>
          </w:p>
        </w:tc>
        <w:tc>
          <w:tcPr>
            <w:tcW w:w="6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E8B540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4 120 448,00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7E5A67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4 239 940,99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5EE874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4 362 899,28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8651C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4 489 423,36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BBB24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4 628 595,48 </w:t>
            </w:r>
          </w:p>
        </w:tc>
      </w:tr>
      <w:tr w:rsidR="003267C1" w:rsidRPr="003267C1" w14:paraId="30CD6F68" w14:textId="77777777" w:rsidTr="003267C1">
        <w:trPr>
          <w:trHeight w:val="465"/>
        </w:trPr>
        <w:tc>
          <w:tcPr>
            <w:tcW w:w="3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283D3F7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36676F97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930CAEC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x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1FE59C20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2,90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46A329AD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2,90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C82B892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2,90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3DEFBA5E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3,10 </w:t>
            </w:r>
          </w:p>
        </w:tc>
      </w:tr>
    </w:tbl>
    <w:p w14:paraId="5437B8A7" w14:textId="77777777" w:rsidR="003267C1" w:rsidRDefault="003267C1" w:rsidP="00F46626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</w:p>
    <w:p w14:paraId="78B3D0A1" w14:textId="77777777" w:rsidR="003267C1" w:rsidRDefault="003267C1" w:rsidP="00F46626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23"/>
        <w:gridCol w:w="2192"/>
        <w:gridCol w:w="1260"/>
        <w:gridCol w:w="1260"/>
        <w:gridCol w:w="1260"/>
        <w:gridCol w:w="1260"/>
        <w:gridCol w:w="1257"/>
      </w:tblGrid>
      <w:tr w:rsidR="003267C1" w:rsidRPr="003267C1" w14:paraId="0616D94A" w14:textId="77777777" w:rsidTr="003267C1">
        <w:trPr>
          <w:trHeight w:val="285"/>
        </w:trPr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557BB42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Lp.</w:t>
            </w:r>
          </w:p>
        </w:tc>
        <w:tc>
          <w:tcPr>
            <w:tcW w:w="119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1B795BD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Wyszczególnienie</w:t>
            </w:r>
          </w:p>
        </w:tc>
        <w:tc>
          <w:tcPr>
            <w:tcW w:w="6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6AF8476D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2024</w:t>
            </w:r>
          </w:p>
        </w:tc>
        <w:tc>
          <w:tcPr>
            <w:tcW w:w="6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51D923A5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2025</w:t>
            </w:r>
          </w:p>
        </w:tc>
        <w:tc>
          <w:tcPr>
            <w:tcW w:w="6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1239654F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2026</w:t>
            </w:r>
          </w:p>
        </w:tc>
        <w:tc>
          <w:tcPr>
            <w:tcW w:w="6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3EF03E8C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2027</w:t>
            </w:r>
          </w:p>
        </w:tc>
        <w:tc>
          <w:tcPr>
            <w:tcW w:w="68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center"/>
            <w:hideMark/>
          </w:tcPr>
          <w:p w14:paraId="219C5934" w14:textId="77777777" w:rsidR="003267C1" w:rsidRPr="003267C1" w:rsidRDefault="003267C1" w:rsidP="003267C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2028</w:t>
            </w:r>
          </w:p>
        </w:tc>
      </w:tr>
      <w:tr w:rsidR="003267C1" w:rsidRPr="003267C1" w14:paraId="6DAE8CFA" w14:textId="77777777" w:rsidTr="003267C1">
        <w:trPr>
          <w:trHeight w:val="805"/>
        </w:trPr>
        <w:tc>
          <w:tcPr>
            <w:tcW w:w="3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9AA49B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11.2</w:t>
            </w:r>
          </w:p>
        </w:tc>
        <w:tc>
          <w:tcPr>
            <w:tcW w:w="11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8A9950B" w14:textId="77777777" w:rsidR="003267C1" w:rsidRPr="003267C1" w:rsidRDefault="003267C1" w:rsidP="003267C1">
            <w:pPr>
              <w:spacing w:after="0" w:line="240" w:lineRule="auto"/>
              <w:ind w:firstLineChars="100" w:firstLine="180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>Wydatki związane z funkcjonowaniem organów jednostki samorządu terytorialnego</w:t>
            </w:r>
          </w:p>
        </w:tc>
        <w:tc>
          <w:tcPr>
            <w:tcW w:w="6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78C74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4 772 081,94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42697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4 920 016,48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950CA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5 072 537,00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0D185F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5 229 785,64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6CB6D3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sz w:val="18"/>
                <w:szCs w:val="18"/>
                <w:lang w:eastAsia="pl-PL"/>
              </w:rPr>
              <w:t xml:space="preserve">5 391 909,00 </w:t>
            </w:r>
          </w:p>
        </w:tc>
      </w:tr>
      <w:tr w:rsidR="003267C1" w:rsidRPr="003267C1" w14:paraId="32CBE93F" w14:textId="77777777" w:rsidTr="003267C1">
        <w:trPr>
          <w:trHeight w:val="465"/>
        </w:trPr>
        <w:tc>
          <w:tcPr>
            <w:tcW w:w="39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C6338DF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 </w:t>
            </w:r>
          </w:p>
        </w:tc>
        <w:tc>
          <w:tcPr>
            <w:tcW w:w="119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EBF1DE"/>
            <w:vAlign w:val="center"/>
            <w:hideMark/>
          </w:tcPr>
          <w:p w14:paraId="6589AC22" w14:textId="77777777" w:rsidR="003267C1" w:rsidRPr="003267C1" w:rsidRDefault="003267C1" w:rsidP="003267C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dynamika - rok </w:t>
            </w:r>
            <w:proofErr w:type="spellStart"/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poprz</w:t>
            </w:r>
            <w:proofErr w:type="spellEnd"/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>. = 100%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6D9D8E7B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507007BC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74E5854B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243791D2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3,10 </w:t>
            </w:r>
          </w:p>
        </w:tc>
        <w:tc>
          <w:tcPr>
            <w:tcW w:w="68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EBF1DE"/>
            <w:noWrap/>
            <w:vAlign w:val="center"/>
            <w:hideMark/>
          </w:tcPr>
          <w:p w14:paraId="02E1FDA2" w14:textId="77777777" w:rsidR="003267C1" w:rsidRPr="003267C1" w:rsidRDefault="003267C1" w:rsidP="003267C1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</w:pPr>
            <w:r w:rsidRPr="003267C1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pl-PL"/>
              </w:rPr>
              <w:t xml:space="preserve">3,10 </w:t>
            </w:r>
          </w:p>
        </w:tc>
      </w:tr>
    </w:tbl>
    <w:p w14:paraId="53BFF4F9" w14:textId="77777777" w:rsidR="003267C1" w:rsidRDefault="003267C1" w:rsidP="00F46626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</w:p>
    <w:p w14:paraId="0625D232" w14:textId="77777777" w:rsidR="00894676" w:rsidRPr="00980D1A" w:rsidRDefault="00894676" w:rsidP="00F46626">
      <w:pPr>
        <w:pStyle w:val="Nagwek1"/>
        <w:rPr>
          <w:rFonts w:asciiTheme="minorHAnsi" w:hAnsiTheme="minorHAnsi" w:cstheme="minorHAnsi"/>
          <w:color w:val="auto"/>
          <w:sz w:val="24"/>
          <w:szCs w:val="24"/>
        </w:rPr>
      </w:pPr>
      <w:r w:rsidRPr="00980D1A">
        <w:rPr>
          <w:rFonts w:asciiTheme="minorHAnsi" w:hAnsiTheme="minorHAnsi" w:cstheme="minorHAnsi"/>
          <w:color w:val="auto"/>
          <w:sz w:val="24"/>
          <w:szCs w:val="24"/>
        </w:rPr>
        <w:t>WYDATKI MAJĄTKOWE</w:t>
      </w:r>
    </w:p>
    <w:p w14:paraId="73FD848E" w14:textId="77777777" w:rsidR="008245B3" w:rsidRPr="00980D1A" w:rsidRDefault="008245B3" w:rsidP="00F4662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14:paraId="5FD324DC" w14:textId="77777777" w:rsidR="00F46626" w:rsidRPr="00980D1A" w:rsidRDefault="00F46626" w:rsidP="00C34E30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>W ramach wieloletniej prognozy finansowej w każdym roku zapisano łączne kwoty</w:t>
      </w:r>
      <w:r w:rsidR="00C34E30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wydatków na wydatki majątkowe, zaprezentowano wymienione z nazwy przedsięwzięcia</w:t>
      </w:r>
      <w:r w:rsidR="00C34E30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wieloletnie sięgające roku 202</w:t>
      </w:r>
      <w:r w:rsidR="008245B3" w:rsidRPr="00980D1A">
        <w:rPr>
          <w:rFonts w:cstheme="minorHAnsi"/>
          <w:sz w:val="24"/>
          <w:szCs w:val="24"/>
        </w:rPr>
        <w:t>4.</w:t>
      </w:r>
      <w:r w:rsidRPr="00980D1A">
        <w:rPr>
          <w:rFonts w:cstheme="minorHAnsi"/>
          <w:sz w:val="24"/>
          <w:szCs w:val="24"/>
        </w:rPr>
        <w:t xml:space="preserve"> Na poziom środków na inwestycje w kolejnych latach wpływ ma również</w:t>
      </w:r>
      <w:r w:rsidR="008245B3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wysokość kwot ponoszonych na obsługę zadłużenia powstałego w znacznej mierze w latach</w:t>
      </w:r>
      <w:r w:rsidR="008245B3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poprzedzających okres prognozowania, a będących pochodną realizacji ambitnego programu</w:t>
      </w:r>
      <w:r w:rsidR="008245B3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inwestycyjnego współfinansowanego w ramach perspektywy finansowej UE 20</w:t>
      </w:r>
      <w:r w:rsidR="008245B3" w:rsidRPr="00980D1A">
        <w:rPr>
          <w:rFonts w:cstheme="minorHAnsi"/>
          <w:sz w:val="24"/>
          <w:szCs w:val="24"/>
        </w:rPr>
        <w:t>14</w:t>
      </w:r>
      <w:r w:rsidRPr="00980D1A">
        <w:rPr>
          <w:rFonts w:cstheme="minorHAnsi"/>
          <w:sz w:val="24"/>
          <w:szCs w:val="24"/>
        </w:rPr>
        <w:t>-20</w:t>
      </w:r>
      <w:r w:rsidR="008245B3" w:rsidRPr="00980D1A">
        <w:rPr>
          <w:rFonts w:cstheme="minorHAnsi"/>
          <w:sz w:val="24"/>
          <w:szCs w:val="24"/>
        </w:rPr>
        <w:t>20</w:t>
      </w:r>
      <w:r w:rsidRPr="00980D1A">
        <w:rPr>
          <w:rFonts w:cstheme="minorHAnsi"/>
          <w:sz w:val="24"/>
          <w:szCs w:val="24"/>
        </w:rPr>
        <w:t>.</w:t>
      </w:r>
    </w:p>
    <w:p w14:paraId="4239EDB4" w14:textId="77777777" w:rsidR="00F46626" w:rsidRPr="00980D1A" w:rsidRDefault="00F46626" w:rsidP="00C34E30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 xml:space="preserve">W związku z ograniczonymi możliwościami </w:t>
      </w:r>
      <w:r w:rsidR="008245B3" w:rsidRPr="00980D1A">
        <w:rPr>
          <w:rFonts w:cstheme="minorHAnsi"/>
          <w:sz w:val="24"/>
          <w:szCs w:val="24"/>
        </w:rPr>
        <w:t>Gminy</w:t>
      </w:r>
      <w:r w:rsidRPr="00980D1A">
        <w:rPr>
          <w:rFonts w:cstheme="minorHAnsi"/>
          <w:sz w:val="24"/>
          <w:szCs w:val="24"/>
        </w:rPr>
        <w:t xml:space="preserve"> w zakresie generowania środków</w:t>
      </w:r>
      <w:r w:rsidR="00C34E30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własnych na inwestycje, zakłada się, że kluczowym źródłem ich finansowania do roku 202</w:t>
      </w:r>
      <w:r w:rsidR="008245B3" w:rsidRPr="00980D1A">
        <w:rPr>
          <w:rFonts w:cstheme="minorHAnsi"/>
          <w:sz w:val="24"/>
          <w:szCs w:val="24"/>
        </w:rPr>
        <w:t>0</w:t>
      </w:r>
      <w:r w:rsidR="00C34E30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będą środki UE</w:t>
      </w:r>
      <w:r w:rsidR="00980D1A" w:rsidRPr="00980D1A">
        <w:rPr>
          <w:rFonts w:cstheme="minorHAnsi"/>
          <w:sz w:val="24"/>
          <w:szCs w:val="24"/>
        </w:rPr>
        <w:t xml:space="preserve"> i programy rządowe</w:t>
      </w:r>
      <w:r w:rsidRPr="00980D1A">
        <w:rPr>
          <w:rFonts w:cstheme="minorHAnsi"/>
          <w:sz w:val="24"/>
          <w:szCs w:val="24"/>
        </w:rPr>
        <w:t>. W prognozie uwzględniono wydatki związane z realizacją zadań, które:</w:t>
      </w:r>
    </w:p>
    <w:p w14:paraId="4360EDCE" w14:textId="77777777" w:rsidR="00F46626" w:rsidRPr="00980D1A" w:rsidRDefault="00F46626" w:rsidP="00C34E3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>- otrzymały dofinansowanie potwierdzone umową,</w:t>
      </w:r>
    </w:p>
    <w:p w14:paraId="788FC263" w14:textId="77777777" w:rsidR="00F46626" w:rsidRPr="00980D1A" w:rsidRDefault="00F46626" w:rsidP="00C34E3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>- zostały zapisane na listach projektów kluczowych w ramach programów</w:t>
      </w:r>
      <w:r w:rsidR="00896A49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operacyjnych,</w:t>
      </w:r>
    </w:p>
    <w:p w14:paraId="3E2145E7" w14:textId="77777777" w:rsidR="00F46626" w:rsidRPr="00980D1A" w:rsidRDefault="00F46626" w:rsidP="00C34E3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>- są wyłaniane w ramach procedury pozakonkursowej, wynikającej m.in. ze</w:t>
      </w:r>
    </w:p>
    <w:p w14:paraId="1D83852A" w14:textId="77777777" w:rsidR="00F46626" w:rsidRPr="00980D1A" w:rsidRDefault="00F46626" w:rsidP="00C34E3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>strategii zintegrowanych inwestycji terytorialnych,</w:t>
      </w:r>
    </w:p>
    <w:p w14:paraId="5998525B" w14:textId="77777777" w:rsidR="00F46626" w:rsidRPr="00980D1A" w:rsidRDefault="00F46626" w:rsidP="00C34E30">
      <w:pPr>
        <w:autoSpaceDE w:val="0"/>
        <w:autoSpaceDN w:val="0"/>
        <w:adjustRightInd w:val="0"/>
        <w:spacing w:after="0" w:line="240" w:lineRule="auto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 xml:space="preserve">- o dofinansowanie których </w:t>
      </w:r>
      <w:r w:rsidR="008245B3" w:rsidRPr="00980D1A">
        <w:rPr>
          <w:rFonts w:cstheme="minorHAnsi"/>
          <w:sz w:val="24"/>
          <w:szCs w:val="24"/>
        </w:rPr>
        <w:t>Gmina</w:t>
      </w:r>
      <w:r w:rsidRPr="00980D1A">
        <w:rPr>
          <w:rFonts w:cstheme="minorHAnsi"/>
          <w:sz w:val="24"/>
          <w:szCs w:val="24"/>
        </w:rPr>
        <w:t xml:space="preserve"> się ubiega.</w:t>
      </w:r>
    </w:p>
    <w:p w14:paraId="439C4C71" w14:textId="77777777" w:rsidR="00C34E30" w:rsidRPr="004050EB" w:rsidRDefault="00C34E30" w:rsidP="00C34E30">
      <w:pPr>
        <w:pStyle w:val="Nagwek1"/>
        <w:rPr>
          <w:rFonts w:asciiTheme="minorHAnsi" w:hAnsiTheme="minorHAnsi" w:cstheme="minorHAnsi"/>
          <w:color w:val="auto"/>
          <w:sz w:val="24"/>
          <w:szCs w:val="24"/>
        </w:rPr>
      </w:pPr>
      <w:r w:rsidRPr="004050EB">
        <w:rPr>
          <w:rFonts w:asciiTheme="minorHAnsi" w:hAnsiTheme="minorHAnsi" w:cstheme="minorHAnsi"/>
          <w:color w:val="auto"/>
          <w:sz w:val="24"/>
          <w:szCs w:val="24"/>
        </w:rPr>
        <w:lastRenderedPageBreak/>
        <w:t>SPŁATA RAT I ODSETEK OD KREDYTÓW I POŻYCZEK</w:t>
      </w:r>
    </w:p>
    <w:p w14:paraId="5E2D6DA8" w14:textId="77777777" w:rsidR="00894676" w:rsidRPr="004050EB" w:rsidRDefault="00894676" w:rsidP="008946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0FD4A15F" w14:textId="77777777" w:rsidR="00894676" w:rsidRPr="004050EB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4050EB">
        <w:rPr>
          <w:rFonts w:cstheme="minorHAnsi"/>
          <w:sz w:val="24"/>
          <w:szCs w:val="24"/>
        </w:rPr>
        <w:t>Wydatki na obsługę długu obejmują spłatę odsetek i prowizji od zaciągniętych przez Gminę Biesiekierz pożyczek, kredytów</w:t>
      </w:r>
      <w:r w:rsidR="00C34E30" w:rsidRPr="004050EB">
        <w:rPr>
          <w:rFonts w:cstheme="minorHAnsi"/>
          <w:sz w:val="24"/>
          <w:szCs w:val="24"/>
        </w:rPr>
        <w:t xml:space="preserve"> </w:t>
      </w:r>
      <w:r w:rsidRPr="004050EB">
        <w:rPr>
          <w:rFonts w:cstheme="minorHAnsi"/>
          <w:sz w:val="24"/>
          <w:szCs w:val="24"/>
        </w:rPr>
        <w:t>i wyemitowanych obligacji. Wysokość obciążeń została obliczona odrębnie dla każdego tytułu dłużnego</w:t>
      </w:r>
      <w:r w:rsidR="00C34E30" w:rsidRPr="004050EB">
        <w:rPr>
          <w:rFonts w:cstheme="minorHAnsi"/>
          <w:sz w:val="24"/>
          <w:szCs w:val="24"/>
        </w:rPr>
        <w:t xml:space="preserve"> na podstawie zawartych umów</w:t>
      </w:r>
      <w:r w:rsidR="00C34E30" w:rsidRPr="004050EB">
        <w:rPr>
          <w:rFonts w:cstheme="minorHAnsi"/>
          <w:sz w:val="24"/>
          <w:szCs w:val="24"/>
        </w:rPr>
        <w:br/>
      </w:r>
      <w:r w:rsidRPr="004050EB">
        <w:rPr>
          <w:rFonts w:cstheme="minorHAnsi"/>
          <w:sz w:val="24"/>
          <w:szCs w:val="24"/>
        </w:rPr>
        <w:t>i planowanych w 201</w:t>
      </w:r>
      <w:r w:rsidR="00980D1A">
        <w:rPr>
          <w:rFonts w:cstheme="minorHAnsi"/>
          <w:sz w:val="24"/>
          <w:szCs w:val="24"/>
        </w:rPr>
        <w:t>9</w:t>
      </w:r>
      <w:r w:rsidRPr="004050EB">
        <w:rPr>
          <w:rFonts w:cstheme="minorHAnsi"/>
          <w:sz w:val="24"/>
          <w:szCs w:val="24"/>
        </w:rPr>
        <w:t xml:space="preserve"> roku z uwzględnieniem stopy procentowej na poziomie WIBOR 6M -  2,00 %  rocznie oraz marży 0,59%, 0,91 % i 1,25%.</w:t>
      </w:r>
    </w:p>
    <w:p w14:paraId="6B3F7D18" w14:textId="77777777" w:rsidR="00894676" w:rsidRPr="004050EB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4050EB">
        <w:rPr>
          <w:rFonts w:cstheme="minorHAnsi"/>
          <w:sz w:val="24"/>
          <w:szCs w:val="24"/>
        </w:rPr>
        <w:t>Spłata rat i odsetek została obliczona zgodnie z</w:t>
      </w:r>
      <w:r w:rsidR="00C34E30" w:rsidRPr="004050EB">
        <w:rPr>
          <w:rFonts w:cstheme="minorHAnsi"/>
          <w:sz w:val="24"/>
          <w:szCs w:val="24"/>
        </w:rPr>
        <w:t xml:space="preserve"> harmonogramem spłat określonym</w:t>
      </w:r>
      <w:r w:rsidR="00C34E30" w:rsidRPr="004050EB">
        <w:rPr>
          <w:rFonts w:cstheme="minorHAnsi"/>
          <w:sz w:val="24"/>
          <w:szCs w:val="24"/>
        </w:rPr>
        <w:br/>
      </w:r>
      <w:r w:rsidRPr="004050EB">
        <w:rPr>
          <w:rFonts w:cstheme="minorHAnsi"/>
          <w:sz w:val="24"/>
          <w:szCs w:val="24"/>
        </w:rPr>
        <w:t>w umowach lub przyjętych założeniach dla przyszłych tytułów dłużnych.</w:t>
      </w:r>
    </w:p>
    <w:p w14:paraId="7DAEFBC6" w14:textId="77777777" w:rsidR="00C34E30" w:rsidRPr="00980D1A" w:rsidRDefault="00C34E30" w:rsidP="00C34E30">
      <w:pPr>
        <w:pStyle w:val="Nagwek1"/>
        <w:rPr>
          <w:rFonts w:asciiTheme="minorHAnsi" w:hAnsiTheme="minorHAnsi" w:cstheme="minorHAnsi"/>
          <w:color w:val="auto"/>
          <w:sz w:val="24"/>
          <w:szCs w:val="24"/>
        </w:rPr>
      </w:pPr>
      <w:r w:rsidRPr="00980D1A">
        <w:rPr>
          <w:rFonts w:asciiTheme="minorHAnsi" w:hAnsiTheme="minorHAnsi" w:cstheme="minorHAnsi"/>
          <w:color w:val="auto"/>
          <w:sz w:val="24"/>
          <w:szCs w:val="24"/>
        </w:rPr>
        <w:t>ZAŁOŻENIA W ZAKRESIE PROGNOZY DŁUGU</w:t>
      </w:r>
    </w:p>
    <w:p w14:paraId="3CFDD716" w14:textId="77777777" w:rsidR="00894676" w:rsidRPr="00980D1A" w:rsidRDefault="00894676" w:rsidP="008946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</w:rPr>
      </w:pPr>
    </w:p>
    <w:p w14:paraId="71314014" w14:textId="77777777" w:rsidR="00894676" w:rsidRPr="00980D1A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>W 201</w:t>
      </w:r>
      <w:r w:rsidR="00980D1A" w:rsidRPr="00980D1A">
        <w:rPr>
          <w:rFonts w:cstheme="minorHAnsi"/>
          <w:sz w:val="24"/>
          <w:szCs w:val="24"/>
        </w:rPr>
        <w:t>9</w:t>
      </w:r>
      <w:r w:rsidRPr="00980D1A">
        <w:rPr>
          <w:rFonts w:cstheme="minorHAnsi"/>
          <w:sz w:val="24"/>
          <w:szCs w:val="24"/>
        </w:rPr>
        <w:t xml:space="preserve"> roku Gmina Biesiekierz nie planuje zaciągania kredytów, pożyczek i emisji obligacji.</w:t>
      </w:r>
      <w:r w:rsidR="00DD2946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W prognozie przyjęto okres spłaty zobowiązań z tytułu długu</w:t>
      </w:r>
      <w:r w:rsidR="00C34E30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w perspektywie do 2028 roku.</w:t>
      </w:r>
      <w:r w:rsidR="00DD2946" w:rsidRPr="00980D1A">
        <w:rPr>
          <w:rFonts w:cstheme="minorHAnsi"/>
          <w:sz w:val="24"/>
          <w:szCs w:val="24"/>
        </w:rPr>
        <w:t xml:space="preserve"> </w:t>
      </w:r>
      <w:r w:rsidRPr="00980D1A">
        <w:rPr>
          <w:rFonts w:cstheme="minorHAnsi"/>
          <w:sz w:val="24"/>
          <w:szCs w:val="24"/>
        </w:rPr>
        <w:t>Planowana kwota długu i obciążenie budżetu z tytułu spłat rat i odsetek od kredytów</w:t>
      </w:r>
      <w:r w:rsidR="00C34E30" w:rsidRPr="00980D1A">
        <w:rPr>
          <w:rFonts w:cstheme="minorHAnsi"/>
          <w:sz w:val="24"/>
          <w:szCs w:val="24"/>
        </w:rPr>
        <w:br/>
      </w:r>
      <w:r w:rsidRPr="00980D1A">
        <w:rPr>
          <w:rFonts w:cstheme="minorHAnsi"/>
          <w:sz w:val="24"/>
          <w:szCs w:val="24"/>
        </w:rPr>
        <w:t>i pożyczek spełniają wymogi określone w przepisach ustawy o finansach publicznych i są bezpieczne dla budżetu gminy. Będą również spełnione warunki w zakresie wskaźnika spłaty określonego w art. 243 ustawy o finansach publicznych.</w:t>
      </w:r>
    </w:p>
    <w:p w14:paraId="09743E59" w14:textId="77777777" w:rsidR="00894676" w:rsidRPr="00980D1A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>We wszystkich latach objętych prognozą wskaźnik nie przekracza indywidualnego wyliczonego na podstawie przyjętych w prognozie wartości dla okresu 201</w:t>
      </w:r>
      <w:r w:rsidR="00980D1A" w:rsidRPr="00980D1A">
        <w:rPr>
          <w:rFonts w:cstheme="minorHAnsi"/>
          <w:sz w:val="24"/>
          <w:szCs w:val="24"/>
        </w:rPr>
        <w:t>9</w:t>
      </w:r>
      <w:r w:rsidRPr="00980D1A">
        <w:rPr>
          <w:rFonts w:cstheme="minorHAnsi"/>
          <w:sz w:val="24"/>
          <w:szCs w:val="24"/>
        </w:rPr>
        <w:t>-2028.</w:t>
      </w:r>
    </w:p>
    <w:p w14:paraId="4B889235" w14:textId="77777777" w:rsidR="00894676" w:rsidRPr="00980D1A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</w:p>
    <w:p w14:paraId="515DC5BB" w14:textId="77777777" w:rsidR="00894676" w:rsidRPr="00980D1A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 xml:space="preserve">Gmina  posiada zobowiązania z tytułu poręczeń i gwarancji: </w:t>
      </w:r>
    </w:p>
    <w:p w14:paraId="157785E8" w14:textId="77777777" w:rsidR="00894676" w:rsidRPr="00980D1A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980D1A">
        <w:rPr>
          <w:rFonts w:cstheme="minorHAnsi"/>
          <w:sz w:val="24"/>
          <w:szCs w:val="24"/>
        </w:rPr>
        <w:t xml:space="preserve">- poręczenie pożyczki dla Regionalnych Wodociągów i Kanalizacji Sp. z o.o. Projekt „Zintegrowana gospodarka </w:t>
      </w:r>
      <w:proofErr w:type="spellStart"/>
      <w:r w:rsidRPr="00980D1A">
        <w:rPr>
          <w:rFonts w:cstheme="minorHAnsi"/>
          <w:sz w:val="24"/>
          <w:szCs w:val="24"/>
        </w:rPr>
        <w:t>wodno</w:t>
      </w:r>
      <w:proofErr w:type="spellEnd"/>
      <w:r w:rsidRPr="00980D1A">
        <w:rPr>
          <w:rFonts w:cstheme="minorHAnsi"/>
          <w:sz w:val="24"/>
          <w:szCs w:val="24"/>
        </w:rPr>
        <w:t xml:space="preserve"> ściekowa w dorzeczu </w:t>
      </w:r>
      <w:r w:rsidR="00C34E30" w:rsidRPr="00980D1A">
        <w:rPr>
          <w:rFonts w:cstheme="minorHAnsi"/>
          <w:sz w:val="24"/>
          <w:szCs w:val="24"/>
        </w:rPr>
        <w:t>Parsęty”. Poręczenie do 2021 r.-</w:t>
      </w:r>
      <w:r w:rsidRPr="00980D1A">
        <w:rPr>
          <w:rFonts w:cstheme="minorHAnsi"/>
          <w:sz w:val="24"/>
          <w:szCs w:val="24"/>
        </w:rPr>
        <w:t xml:space="preserve"> umowa  nr 236/2007/</w:t>
      </w:r>
      <w:proofErr w:type="spellStart"/>
      <w:r w:rsidRPr="00980D1A">
        <w:rPr>
          <w:rFonts w:cstheme="minorHAnsi"/>
          <w:sz w:val="24"/>
          <w:szCs w:val="24"/>
        </w:rPr>
        <w:t>Wn</w:t>
      </w:r>
      <w:proofErr w:type="spellEnd"/>
      <w:r w:rsidRPr="00980D1A">
        <w:rPr>
          <w:rFonts w:cstheme="minorHAnsi"/>
          <w:sz w:val="24"/>
          <w:szCs w:val="24"/>
        </w:rPr>
        <w:t>-ki-IS/P.</w:t>
      </w:r>
    </w:p>
    <w:p w14:paraId="2558C922" w14:textId="77777777" w:rsidR="00894676" w:rsidRPr="00454CBA" w:rsidRDefault="00894676" w:rsidP="00DD2946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  <w:highlight w:val="yellow"/>
        </w:rPr>
      </w:pPr>
    </w:p>
    <w:p w14:paraId="5A28EB80" w14:textId="77777777" w:rsidR="00894676" w:rsidRPr="004D2EE9" w:rsidRDefault="00894676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4D2EE9">
        <w:rPr>
          <w:rFonts w:cstheme="minorHAnsi"/>
          <w:sz w:val="24"/>
          <w:szCs w:val="24"/>
        </w:rPr>
        <w:t>Na wyżej wymienione poręczenia zabezpieczony został w projekcie budżetu  plan wydatków na 201</w:t>
      </w:r>
      <w:r w:rsidR="00980D1A" w:rsidRPr="004D2EE9">
        <w:rPr>
          <w:rFonts w:cstheme="minorHAnsi"/>
          <w:sz w:val="24"/>
          <w:szCs w:val="24"/>
        </w:rPr>
        <w:t>9</w:t>
      </w:r>
      <w:r w:rsidRPr="004D2EE9">
        <w:rPr>
          <w:rFonts w:cstheme="minorHAnsi"/>
          <w:sz w:val="24"/>
          <w:szCs w:val="24"/>
        </w:rPr>
        <w:t xml:space="preserve"> r. na ewentualne spłaty zobowiązań</w:t>
      </w:r>
      <w:r w:rsidR="00C34E30" w:rsidRPr="004D2EE9">
        <w:rPr>
          <w:rFonts w:cstheme="minorHAnsi"/>
          <w:sz w:val="24"/>
          <w:szCs w:val="24"/>
        </w:rPr>
        <w:t xml:space="preserve"> </w:t>
      </w:r>
      <w:r w:rsidRPr="004D2EE9">
        <w:rPr>
          <w:rFonts w:cstheme="minorHAnsi"/>
          <w:sz w:val="24"/>
          <w:szCs w:val="24"/>
        </w:rPr>
        <w:t xml:space="preserve">z tych tytułów.  </w:t>
      </w:r>
    </w:p>
    <w:p w14:paraId="6EDF78A5" w14:textId="77777777" w:rsidR="00894676" w:rsidRPr="004D2EE9" w:rsidRDefault="00894676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4D2EE9">
        <w:rPr>
          <w:rFonts w:cstheme="minorHAnsi"/>
          <w:sz w:val="24"/>
          <w:szCs w:val="24"/>
        </w:rPr>
        <w:t xml:space="preserve">Realizację art. 243 </w:t>
      </w:r>
      <w:proofErr w:type="spellStart"/>
      <w:r w:rsidRPr="004D2EE9">
        <w:rPr>
          <w:rFonts w:cstheme="minorHAnsi"/>
          <w:sz w:val="24"/>
          <w:szCs w:val="24"/>
        </w:rPr>
        <w:t>ufp</w:t>
      </w:r>
      <w:proofErr w:type="spellEnd"/>
      <w:r w:rsidRPr="004D2EE9">
        <w:rPr>
          <w:rFonts w:cstheme="minorHAnsi"/>
          <w:sz w:val="24"/>
          <w:szCs w:val="24"/>
        </w:rPr>
        <w:t xml:space="preserve"> w latach </w:t>
      </w:r>
      <w:r w:rsidR="00985FD7" w:rsidRPr="004D2EE9">
        <w:rPr>
          <w:rFonts w:cstheme="minorHAnsi"/>
          <w:sz w:val="24"/>
          <w:szCs w:val="24"/>
        </w:rPr>
        <w:t>2018-</w:t>
      </w:r>
      <w:r w:rsidRPr="004D2EE9">
        <w:rPr>
          <w:rFonts w:cstheme="minorHAnsi"/>
          <w:sz w:val="24"/>
          <w:szCs w:val="24"/>
        </w:rPr>
        <w:t xml:space="preserve">2028 przedstawia poniższy wykres nr 1. </w:t>
      </w:r>
    </w:p>
    <w:p w14:paraId="0E244868" w14:textId="77777777" w:rsidR="00894676" w:rsidRPr="004D2EE9" w:rsidRDefault="00894676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sz w:val="24"/>
          <w:szCs w:val="24"/>
        </w:rPr>
      </w:pPr>
      <w:r w:rsidRPr="004D2EE9">
        <w:rPr>
          <w:rFonts w:cstheme="minorHAnsi"/>
          <w:b/>
          <w:sz w:val="24"/>
          <w:szCs w:val="24"/>
        </w:rPr>
        <w:t>Wskaźnik planowanej łącznej kwoty spłaty zobowiązań</w:t>
      </w:r>
      <w:r w:rsidRPr="004D2EE9">
        <w:rPr>
          <w:rFonts w:cstheme="minorHAnsi"/>
          <w:sz w:val="24"/>
          <w:szCs w:val="24"/>
        </w:rPr>
        <w:t xml:space="preserve">, o której mowa w art. 243 ust. 1 ustawy do dochodów, po uwzględnieniu zobowiązań związku współtworzonego przez jednostkę samorządu terytorialnego oraz po uwzględnieniu ustawowych </w:t>
      </w:r>
      <w:proofErr w:type="spellStart"/>
      <w:r w:rsidR="00C34E30" w:rsidRPr="004D2EE9">
        <w:rPr>
          <w:rFonts w:cstheme="minorHAnsi"/>
          <w:sz w:val="24"/>
          <w:szCs w:val="24"/>
        </w:rPr>
        <w:t>wyłączeń</w:t>
      </w:r>
      <w:proofErr w:type="spellEnd"/>
      <w:r w:rsidRPr="004D2EE9">
        <w:rPr>
          <w:rFonts w:cstheme="minorHAnsi"/>
          <w:sz w:val="24"/>
          <w:szCs w:val="24"/>
        </w:rPr>
        <w:t xml:space="preserve"> przypadających na dany rok kształtuje się od </w:t>
      </w:r>
      <w:r w:rsidR="004D2EE9" w:rsidRPr="004D2EE9">
        <w:rPr>
          <w:rFonts w:cstheme="minorHAnsi"/>
          <w:sz w:val="24"/>
          <w:szCs w:val="24"/>
        </w:rPr>
        <w:t>2,90</w:t>
      </w:r>
      <w:r w:rsidRPr="004D2EE9">
        <w:rPr>
          <w:rFonts w:cstheme="minorHAnsi"/>
          <w:sz w:val="24"/>
          <w:szCs w:val="24"/>
        </w:rPr>
        <w:t>% w 201</w:t>
      </w:r>
      <w:r w:rsidR="004D2EE9" w:rsidRPr="004D2EE9">
        <w:rPr>
          <w:rFonts w:cstheme="minorHAnsi"/>
          <w:sz w:val="24"/>
          <w:szCs w:val="24"/>
        </w:rPr>
        <w:t>9</w:t>
      </w:r>
      <w:r w:rsidRPr="004D2EE9">
        <w:rPr>
          <w:rFonts w:cstheme="minorHAnsi"/>
          <w:sz w:val="24"/>
          <w:szCs w:val="24"/>
        </w:rPr>
        <w:t xml:space="preserve"> roku do </w:t>
      </w:r>
      <w:r w:rsidRPr="004D2EE9">
        <w:rPr>
          <w:rFonts w:cstheme="minorHAnsi"/>
          <w:b/>
          <w:sz w:val="24"/>
          <w:szCs w:val="24"/>
        </w:rPr>
        <w:t>1,</w:t>
      </w:r>
      <w:r w:rsidR="004D2EE9" w:rsidRPr="004D2EE9">
        <w:rPr>
          <w:rFonts w:cstheme="minorHAnsi"/>
          <w:b/>
          <w:sz w:val="24"/>
          <w:szCs w:val="24"/>
        </w:rPr>
        <w:t>40</w:t>
      </w:r>
      <w:r w:rsidRPr="004D2EE9">
        <w:rPr>
          <w:rFonts w:cstheme="minorHAnsi"/>
          <w:b/>
          <w:sz w:val="24"/>
          <w:szCs w:val="24"/>
        </w:rPr>
        <w:t>%</w:t>
      </w:r>
      <w:r w:rsidRPr="004D2EE9">
        <w:rPr>
          <w:rFonts w:cstheme="minorHAnsi"/>
          <w:sz w:val="24"/>
          <w:szCs w:val="24"/>
        </w:rPr>
        <w:t xml:space="preserve"> w 2028 roku. </w:t>
      </w:r>
    </w:p>
    <w:p w14:paraId="20FA7801" w14:textId="77777777" w:rsidR="00894676" w:rsidRPr="004D2EE9" w:rsidRDefault="00894676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/>
          <w:sz w:val="24"/>
          <w:szCs w:val="24"/>
        </w:rPr>
      </w:pPr>
      <w:r w:rsidRPr="004D2EE9">
        <w:rPr>
          <w:rFonts w:cstheme="minorHAnsi"/>
          <w:b/>
          <w:sz w:val="24"/>
          <w:szCs w:val="24"/>
        </w:rPr>
        <w:t>Dopuszczalny wskaźnik spłaty zobowiązań</w:t>
      </w:r>
      <w:r w:rsidRPr="004D2EE9">
        <w:rPr>
          <w:rFonts w:cstheme="minorHAnsi"/>
          <w:sz w:val="24"/>
          <w:szCs w:val="24"/>
        </w:rPr>
        <w:t xml:space="preserve"> określony w art. 243 ustawy, po uwzględnieniu ustawowych </w:t>
      </w:r>
      <w:proofErr w:type="spellStart"/>
      <w:r w:rsidRPr="004D2EE9">
        <w:rPr>
          <w:rFonts w:cstheme="minorHAnsi"/>
          <w:sz w:val="24"/>
          <w:szCs w:val="24"/>
        </w:rPr>
        <w:t>wyłączeń</w:t>
      </w:r>
      <w:proofErr w:type="spellEnd"/>
      <w:r w:rsidRPr="004D2EE9">
        <w:rPr>
          <w:rFonts w:cstheme="minorHAnsi"/>
          <w:sz w:val="24"/>
          <w:szCs w:val="24"/>
        </w:rPr>
        <w:t xml:space="preserve"> , obliczony w oparciu o </w:t>
      </w:r>
      <w:r w:rsidRPr="004D2EE9">
        <w:rPr>
          <w:rFonts w:cstheme="minorHAnsi"/>
          <w:b/>
          <w:sz w:val="24"/>
          <w:szCs w:val="24"/>
        </w:rPr>
        <w:t>plan 3 kwartału roku poprzedzającego pierwszy rok prognozy</w:t>
      </w:r>
      <w:r w:rsidRPr="004D2EE9">
        <w:rPr>
          <w:rFonts w:cstheme="minorHAnsi"/>
          <w:sz w:val="24"/>
          <w:szCs w:val="24"/>
        </w:rPr>
        <w:t xml:space="preserve"> (wskaźnik ustalony w oparciu o średnią arytmetyczną z 3 poprzednich lat) wynosi </w:t>
      </w:r>
      <w:r w:rsidRPr="004D2EE9">
        <w:rPr>
          <w:rFonts w:cstheme="minorHAnsi"/>
          <w:b/>
          <w:sz w:val="24"/>
          <w:szCs w:val="24"/>
        </w:rPr>
        <w:t xml:space="preserve">od </w:t>
      </w:r>
      <w:r w:rsidR="004D2EE9" w:rsidRPr="004D2EE9">
        <w:rPr>
          <w:rFonts w:cstheme="minorHAnsi"/>
          <w:b/>
          <w:sz w:val="24"/>
          <w:szCs w:val="24"/>
        </w:rPr>
        <w:t>16,44</w:t>
      </w:r>
      <w:r w:rsidRPr="004D2EE9">
        <w:rPr>
          <w:rFonts w:cstheme="minorHAnsi"/>
          <w:b/>
          <w:sz w:val="24"/>
          <w:szCs w:val="24"/>
        </w:rPr>
        <w:t>%</w:t>
      </w:r>
      <w:r w:rsidRPr="004D2EE9">
        <w:rPr>
          <w:rFonts w:cstheme="minorHAnsi"/>
          <w:sz w:val="24"/>
          <w:szCs w:val="24"/>
        </w:rPr>
        <w:t xml:space="preserve"> w 201</w:t>
      </w:r>
      <w:r w:rsidR="00985FD7" w:rsidRPr="004D2EE9">
        <w:rPr>
          <w:rFonts w:cstheme="minorHAnsi"/>
          <w:sz w:val="24"/>
          <w:szCs w:val="24"/>
        </w:rPr>
        <w:t>8</w:t>
      </w:r>
      <w:r w:rsidRPr="004D2EE9">
        <w:rPr>
          <w:rFonts w:cstheme="minorHAnsi"/>
          <w:sz w:val="24"/>
          <w:szCs w:val="24"/>
        </w:rPr>
        <w:t xml:space="preserve"> roku </w:t>
      </w:r>
      <w:r w:rsidRPr="004D2EE9">
        <w:rPr>
          <w:rFonts w:cstheme="minorHAnsi"/>
          <w:b/>
          <w:sz w:val="24"/>
          <w:szCs w:val="24"/>
        </w:rPr>
        <w:t xml:space="preserve">do </w:t>
      </w:r>
      <w:r w:rsidR="004D2EE9" w:rsidRPr="004D2EE9">
        <w:rPr>
          <w:rFonts w:cstheme="minorHAnsi"/>
          <w:b/>
          <w:sz w:val="24"/>
          <w:szCs w:val="24"/>
        </w:rPr>
        <w:t>11,19</w:t>
      </w:r>
      <w:r w:rsidRPr="004D2EE9">
        <w:rPr>
          <w:rFonts w:cstheme="minorHAnsi"/>
          <w:b/>
          <w:sz w:val="24"/>
          <w:szCs w:val="24"/>
        </w:rPr>
        <w:t>%</w:t>
      </w:r>
      <w:r w:rsidRPr="004D2EE9">
        <w:rPr>
          <w:rFonts w:cstheme="minorHAnsi"/>
          <w:sz w:val="24"/>
          <w:szCs w:val="24"/>
        </w:rPr>
        <w:t xml:space="preserve"> w 2028 roku. </w:t>
      </w:r>
    </w:p>
    <w:p w14:paraId="43DA7702" w14:textId="77777777" w:rsidR="00894676" w:rsidRDefault="00894676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2F146DDB" w14:textId="77777777" w:rsid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3DC73423" w14:textId="77777777" w:rsid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1E280ACB" w14:textId="77777777" w:rsid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0132CCB1" w14:textId="77777777" w:rsid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14E34598" w14:textId="77777777" w:rsid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6DF1A0E6" w14:textId="77777777" w:rsid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69B6843C" w14:textId="77777777" w:rsid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19FBF0F4" w14:textId="77777777" w:rsid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71577D7B" w14:textId="77777777" w:rsidR="004D2EE9" w:rsidRPr="004D2EE9" w:rsidRDefault="004D2EE9" w:rsidP="00846F85">
      <w:pPr>
        <w:autoSpaceDE w:val="0"/>
        <w:autoSpaceDN w:val="0"/>
        <w:adjustRightInd w:val="0"/>
        <w:spacing w:after="0" w:line="240" w:lineRule="auto"/>
        <w:jc w:val="both"/>
        <w:rPr>
          <w:rFonts w:cstheme="minorHAnsi"/>
        </w:rPr>
      </w:pPr>
    </w:p>
    <w:p w14:paraId="4475C468" w14:textId="77777777" w:rsidR="00894676" w:rsidRPr="004D2EE9" w:rsidRDefault="00894676" w:rsidP="00985FD7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  <w:r w:rsidRPr="004D2EE9">
        <w:rPr>
          <w:rFonts w:cstheme="minorHAnsi"/>
          <w:b/>
          <w:sz w:val="24"/>
          <w:szCs w:val="24"/>
        </w:rPr>
        <w:lastRenderedPageBreak/>
        <w:t>Wykres 1.</w:t>
      </w:r>
      <w:r w:rsidRPr="004D2EE9">
        <w:rPr>
          <w:rFonts w:cstheme="minorHAnsi"/>
          <w:sz w:val="24"/>
          <w:szCs w:val="24"/>
        </w:rPr>
        <w:t xml:space="preserve"> Porównanie wskaźników określonych w art. 243 </w:t>
      </w:r>
      <w:proofErr w:type="spellStart"/>
      <w:r w:rsidRPr="004D2EE9">
        <w:rPr>
          <w:rFonts w:cstheme="minorHAnsi"/>
          <w:sz w:val="24"/>
          <w:szCs w:val="24"/>
        </w:rPr>
        <w:t>uofp</w:t>
      </w:r>
      <w:proofErr w:type="spellEnd"/>
      <w:r w:rsidRPr="004D2EE9">
        <w:rPr>
          <w:rFonts w:cstheme="minorHAnsi"/>
          <w:sz w:val="24"/>
          <w:szCs w:val="24"/>
        </w:rPr>
        <w:t xml:space="preserve"> w latach 201</w:t>
      </w:r>
      <w:r w:rsidR="004050EB" w:rsidRPr="004D2EE9">
        <w:rPr>
          <w:rFonts w:cstheme="minorHAnsi"/>
          <w:sz w:val="24"/>
          <w:szCs w:val="24"/>
        </w:rPr>
        <w:t>9</w:t>
      </w:r>
      <w:r w:rsidRPr="004D2EE9">
        <w:rPr>
          <w:rFonts w:cstheme="minorHAnsi"/>
          <w:sz w:val="24"/>
          <w:szCs w:val="24"/>
        </w:rPr>
        <w:t xml:space="preserve">-2028 r. </w:t>
      </w:r>
    </w:p>
    <w:p w14:paraId="74FC92D5" w14:textId="77777777" w:rsidR="00985FD7" w:rsidRDefault="00985FD7" w:rsidP="00985FD7">
      <w:pPr>
        <w:autoSpaceDE w:val="0"/>
        <w:autoSpaceDN w:val="0"/>
        <w:adjustRightInd w:val="0"/>
        <w:spacing w:after="0"/>
        <w:jc w:val="both"/>
        <w:rPr>
          <w:noProof/>
        </w:rPr>
      </w:pPr>
    </w:p>
    <w:p w14:paraId="1899F968" w14:textId="77777777" w:rsidR="004D2EE9" w:rsidRDefault="004D2EE9" w:rsidP="00985FD7">
      <w:pPr>
        <w:autoSpaceDE w:val="0"/>
        <w:autoSpaceDN w:val="0"/>
        <w:adjustRightInd w:val="0"/>
        <w:spacing w:after="0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7709DF77" wp14:editId="50CECF71">
            <wp:extent cx="5760720" cy="3434715"/>
            <wp:effectExtent l="0" t="0" r="0" b="0"/>
            <wp:docPr id="1" name="Wykres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500-000008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6601C05A" w14:textId="77777777" w:rsidR="00523164" w:rsidRPr="00E452EC" w:rsidRDefault="004D2EE9" w:rsidP="00E452EC">
      <w:pPr>
        <w:pStyle w:val="Nagwek1"/>
        <w:rPr>
          <w:rFonts w:cstheme="minorHAnsi"/>
          <w:color w:val="auto"/>
          <w:sz w:val="24"/>
          <w:szCs w:val="24"/>
        </w:rPr>
      </w:pPr>
      <w:r>
        <w:rPr>
          <w:rFonts w:cstheme="minorHAnsi"/>
          <w:color w:val="auto"/>
          <w:sz w:val="24"/>
          <w:szCs w:val="24"/>
        </w:rPr>
        <w:t>O</w:t>
      </w:r>
      <w:r w:rsidR="00E452EC" w:rsidRPr="00E452EC">
        <w:rPr>
          <w:rFonts w:cstheme="minorHAnsi"/>
          <w:color w:val="auto"/>
          <w:sz w:val="24"/>
          <w:szCs w:val="24"/>
        </w:rPr>
        <w:t>BJAŚNIENIA DO WIELOLETNIEJ  PROGNOZY FINANSOWEJ WIERSZE 12.1. – 12.6.1.</w:t>
      </w:r>
    </w:p>
    <w:p w14:paraId="6C3D3806" w14:textId="77777777" w:rsidR="00E452EC" w:rsidRDefault="00E452EC" w:rsidP="00E452EC">
      <w:pPr>
        <w:pStyle w:val="Bezodstpw"/>
        <w:jc w:val="both"/>
        <w:rPr>
          <w:rFonts w:cstheme="minorHAnsi"/>
          <w:sz w:val="24"/>
          <w:szCs w:val="24"/>
        </w:rPr>
      </w:pPr>
    </w:p>
    <w:p w14:paraId="039B3DA3" w14:textId="77777777" w:rsidR="00E452EC" w:rsidRPr="00731F3C" w:rsidRDefault="00E452EC" w:rsidP="00E452EC">
      <w:pPr>
        <w:pStyle w:val="Bezodstpw"/>
        <w:numPr>
          <w:ilvl w:val="0"/>
          <w:numId w:val="16"/>
        </w:numPr>
        <w:jc w:val="both"/>
        <w:rPr>
          <w:rFonts w:ascii="Calibri Light" w:hAnsi="Calibri Light" w:cs="Calibri Light"/>
          <w:b/>
          <w:sz w:val="24"/>
          <w:szCs w:val="28"/>
          <w:u w:val="single"/>
        </w:rPr>
      </w:pPr>
      <w:r w:rsidRPr="00731F3C">
        <w:rPr>
          <w:rFonts w:ascii="Calibri Light" w:hAnsi="Calibri Light" w:cs="Calibri Light"/>
          <w:b/>
          <w:sz w:val="24"/>
          <w:szCs w:val="28"/>
          <w:u w:val="single"/>
        </w:rPr>
        <w:t>2019 rok:</w:t>
      </w:r>
    </w:p>
    <w:p w14:paraId="759848A3" w14:textId="77777777" w:rsidR="00E452EC" w:rsidRPr="00731F3C" w:rsidRDefault="00E452EC" w:rsidP="00E452EC">
      <w:pPr>
        <w:pStyle w:val="Bezodstpw"/>
        <w:jc w:val="both"/>
        <w:rPr>
          <w:rFonts w:ascii="Calibri Light" w:hAnsi="Calibri Light" w:cs="Calibri Light"/>
          <w:b/>
          <w:sz w:val="24"/>
          <w:szCs w:val="28"/>
          <w:u w:val="single"/>
        </w:rPr>
      </w:pPr>
    </w:p>
    <w:p w14:paraId="6E279EC8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12.1 - rok 2019 - 741.630,63 zł. - na kwotę składa się dotacja UE (165718,13) na projekt Większa przestrzeń dla trzy- i czterolatków w Gminie Biesiekierz i dotacja UE (263500,00) oraz dotacja budżetu państwa (24900,00) na projekt Kompleksowe działania wspierające utworzenie i funkcjonowanie placówki wsparcia dziennego w Gminie Biesiekierz, dotacja UE do projektu Inwentaryzacja przyrodnicza gminy Biesiekierz (287.512,50)</w:t>
      </w:r>
    </w:p>
    <w:p w14:paraId="01034B62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12.1.1 - rok 2019 - 716.730,63 zł. - na kwotę składa się dotacja UE (165718,13) na projekt Większa przestrzeń dla trzy- i czterolatków w Gminie Biesiekierz i dotacja UE (263500,00) na projekt Kompleksowe działania wspierające utworzenie i funkcjonowanie placówki wsparcia dziennego w Gminie Biesiekierz, dotacja UE do projektu Inwentaryzacja przyrodnicza gminy Biesiekierz (287.512,50)</w:t>
      </w:r>
    </w:p>
    <w:p w14:paraId="766F914A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12.1.1.1 - rok 2019 - 429.218,13 zł. - na kwotę składa się dotacja UE (165718,13) na projekt Większa przestrzeń dla trzy- i czterolatków w Gminie Biesiekierz (umowa nr RPZP.08.01.00-32-K028/17-00 z dnia 2017-12-13), Kompleksowe działania wspierające utworzenie i funkcjonowanie placówki wsparcia dziennego w Gminie Biesiekierz (umowa RPZP.07.06.00-32-K114/17-00) (263.500,00)</w:t>
      </w:r>
    </w:p>
    <w:p w14:paraId="3125C7E9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</w:p>
    <w:p w14:paraId="1172F69C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lastRenderedPageBreak/>
        <w:t xml:space="preserve">12.2 - rok 2019 – (2.488.989,86) - na kwotę składa się dotacja (190785,00) na projekt Budowa centrum </w:t>
      </w:r>
      <w:proofErr w:type="spellStart"/>
      <w:r w:rsidRPr="003E1DBE">
        <w:rPr>
          <w:rFonts w:cstheme="minorHAnsi"/>
          <w:sz w:val="24"/>
          <w:szCs w:val="24"/>
        </w:rPr>
        <w:t>turystyczno</w:t>
      </w:r>
      <w:proofErr w:type="spellEnd"/>
      <w:r w:rsidRPr="003E1DBE">
        <w:rPr>
          <w:rFonts w:cstheme="minorHAnsi"/>
          <w:sz w:val="24"/>
          <w:szCs w:val="24"/>
        </w:rPr>
        <w:t xml:space="preserve"> - rekreacyjnego w </w:t>
      </w:r>
      <w:proofErr w:type="spellStart"/>
      <w:r w:rsidRPr="003E1DBE">
        <w:rPr>
          <w:rFonts w:cstheme="minorHAnsi"/>
          <w:sz w:val="24"/>
          <w:szCs w:val="24"/>
        </w:rPr>
        <w:t>Kotłowie</w:t>
      </w:r>
      <w:proofErr w:type="spellEnd"/>
      <w:r w:rsidRPr="003E1DBE">
        <w:rPr>
          <w:rFonts w:cstheme="minorHAnsi"/>
          <w:sz w:val="24"/>
          <w:szCs w:val="24"/>
        </w:rPr>
        <w:t xml:space="preserve">; dotacja UE (255000,00) i budżetu państwa (45000,00) na projekt Budowa świetlicy wiejskiej w Parsowie; dotacja UE (242250 zł. co stanowi refundację 10% z dotacji 2422500,00 zł.(w roku 2018 wykorzystano zaliczkę 90%)) na projekt Powiązanie lokalnego układu komunikacyjnego w Gminie Biesiekierz z planowanymi drogami ekspresowymi S6 i S11 - Połączenie m. Stare Bielice z Podstrefą "Koszalin" SSSE; dotacja UE 206.843,00 do projektu Termomodernizacja, przebudowa i nadbudowa istniejącego budynku warsztatowego i gospodarczego Gminy Biesiekierz; dotacja UE - 1.549.112,00 zł. na projekt Budowa drogi wewnętrznej na działkach nr 152/23, 152/18, 156/3 (ul. Podgórna, cz. ul. Wspólnej), 200/5 (ul. Przyjaciół), 201/2, 201/10, 201/5, 208/13 (ul. Sąsiedzka) obręb Stare Bielice wraz z niezbędną infrastrukturą </w:t>
      </w:r>
    </w:p>
    <w:p w14:paraId="026B84A9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 xml:space="preserve">12.2.1 – rok 2019 – (2.488.989,86) zł. - na kwotę składa się dotacja (190785,00) na projekt Budowa centrum </w:t>
      </w:r>
      <w:proofErr w:type="spellStart"/>
      <w:r w:rsidRPr="003E1DBE">
        <w:rPr>
          <w:rFonts w:cstheme="minorHAnsi"/>
          <w:sz w:val="24"/>
          <w:szCs w:val="24"/>
        </w:rPr>
        <w:t>turystyczno</w:t>
      </w:r>
      <w:proofErr w:type="spellEnd"/>
      <w:r w:rsidRPr="003E1DBE">
        <w:rPr>
          <w:rFonts w:cstheme="minorHAnsi"/>
          <w:sz w:val="24"/>
          <w:szCs w:val="24"/>
        </w:rPr>
        <w:t xml:space="preserve"> - rekreacyjnego w </w:t>
      </w:r>
      <w:proofErr w:type="spellStart"/>
      <w:r w:rsidRPr="003E1DBE">
        <w:rPr>
          <w:rFonts w:cstheme="minorHAnsi"/>
          <w:sz w:val="24"/>
          <w:szCs w:val="24"/>
        </w:rPr>
        <w:t>Kotłowie</w:t>
      </w:r>
      <w:proofErr w:type="spellEnd"/>
      <w:r w:rsidRPr="003E1DBE">
        <w:rPr>
          <w:rFonts w:cstheme="minorHAnsi"/>
          <w:sz w:val="24"/>
          <w:szCs w:val="24"/>
        </w:rPr>
        <w:t xml:space="preserve">; dotacja UE (255000,00) na projekt Budowa świetlicy wiejskiej w Parsowie; dotacja UE (242250 zł. co stanowi refundację 10% z dotacji 2422500,00 zł.(w roku 2018 wykorzystano zaliczkę 90%)) na projekt Powiązanie lokalnego układu komunikacyjnego w Gminie Biesiekierz z planowanymi drogami ekspresowymi S6 i S11 - Połączenie m. Stare Bielice z Podstrefą "Koszalin" SSSE; dotacja UE 206.843,00 do projektu Termomodernizacja, przebudowa i nadbudowa istniejącego budynku warsztatowego i gospodarczego Gminy Biesiekierz; dotacja UE - 1.549.112,00 zł. na projekt Budowa drogi wewnętrznej na działkach nr 152/23, 152/18, 156/3 (ul. Podgórna, cz. ul. Wspólnej), 200/5 (ul. Przyjaciół), 201/2, 201/10, 201/5, 208/13 (ul. Sąsiedzka) obręb Stare Bielice wraz z niezbędną infrastrukturą </w:t>
      </w:r>
    </w:p>
    <w:p w14:paraId="71CCED88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 xml:space="preserve">12.2.1.1 – 733.035,00 zł. - na kwotę składa się dotacja (190785,00) na projekt Budowa centrum </w:t>
      </w:r>
      <w:proofErr w:type="spellStart"/>
      <w:r w:rsidRPr="003E1DBE">
        <w:rPr>
          <w:rFonts w:cstheme="minorHAnsi"/>
          <w:sz w:val="24"/>
          <w:szCs w:val="24"/>
        </w:rPr>
        <w:t>turystyczno</w:t>
      </w:r>
      <w:proofErr w:type="spellEnd"/>
      <w:r w:rsidRPr="003E1DBE">
        <w:rPr>
          <w:rFonts w:cstheme="minorHAnsi"/>
          <w:sz w:val="24"/>
          <w:szCs w:val="24"/>
        </w:rPr>
        <w:t xml:space="preserve"> - rekreacyjnego w </w:t>
      </w:r>
      <w:proofErr w:type="spellStart"/>
      <w:r w:rsidRPr="003E1DBE">
        <w:rPr>
          <w:rFonts w:cstheme="minorHAnsi"/>
          <w:sz w:val="24"/>
          <w:szCs w:val="24"/>
        </w:rPr>
        <w:t>Kotłowie</w:t>
      </w:r>
      <w:proofErr w:type="spellEnd"/>
      <w:r w:rsidRPr="003E1DBE">
        <w:rPr>
          <w:rFonts w:cstheme="minorHAnsi"/>
          <w:sz w:val="24"/>
          <w:szCs w:val="24"/>
        </w:rPr>
        <w:t>; dotacja UE (300.000,00) na projekt Budowa świetlicy wiejskiej w Parsowie; dotacja UE (242250 zł. co stanowi refundację 10% z dotacji 2422500,00 zł.(w roku 2018 wykorzystano zaliczkę 90%)) na projekt Powiązanie lokalnego układu komunikacyjnego w Gminie Biesiekierz z planowanymi drogami ekspresowymi S6 i S11 - Połączenie m. Stare Bielice z Podstrefą "Koszalin" SSSE</w:t>
      </w:r>
    </w:p>
    <w:p w14:paraId="5DC165B4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 xml:space="preserve">12.3 - rok 2019 - 843.212,52 zł. - na kwotę składa się dotacja UE (165718,13) i wkład JST (29244,39) na projekt Większa przestrzeń dla trzy- i czterolatków w Gminie Biesiekierz i dotacja UE (263500,00), dotacja budżetu państwa (24900,00) i wkład JST (21600,00) na projekt Kompleksowe działania wspierające utworzenie i funkcjonowanie placówki wsparcia dziennego w Gminie Biesiekierz, dotacja UE (287.512,50 zł.) i wkład własny JST (50.737,50) na projekt Inwentaryzacja przyrodnicza gminy Biesiekierz </w:t>
      </w:r>
    </w:p>
    <w:p w14:paraId="5F679F80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12.3.1 - rok 2019 - 716.730,63 zł. - na kwotę składa się dotacja UE (165718,13) na projekt Większa przestrzeń dla trzy- i czterolatków w Gminie Biesiekierz i dotacja UE (263500,00) na projekt Kompleksowe działania wspierające utworzenie i funkcjonowanie placówki wsparcia dziennego w Gminie Biesiekierz i dotacja UE (287.512,50 zł.) i wkład własny JST (50.737,50) na projekt Inwentaryzacja przyrodnicza gminy Biesiekierz</w:t>
      </w:r>
    </w:p>
    <w:p w14:paraId="255EEE08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12.3.2 - rok 2019 - 429.218,13 zł. - na kwotę składa się dotacja UE (165718,13) na projekt Większa przestrzeń dla trzy- i czterolatków w Gminie Biesiekierz i dotacja UE (263500,00) na projekt Kompleksowe działania wspierające utworzenie i funkcjonowanie placówki wsparcia dziennego w Gminie Biesiekierz</w:t>
      </w:r>
    </w:p>
    <w:p w14:paraId="45DE7E66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</w:p>
    <w:p w14:paraId="03A3F290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12.4 - rok 2019 – (4.0</w:t>
      </w:r>
      <w:r w:rsidR="004D2EE9" w:rsidRPr="003E1DBE">
        <w:rPr>
          <w:rFonts w:cstheme="minorHAnsi"/>
          <w:sz w:val="24"/>
          <w:szCs w:val="24"/>
        </w:rPr>
        <w:t>4</w:t>
      </w:r>
      <w:r w:rsidRPr="003E1DBE">
        <w:rPr>
          <w:rFonts w:cstheme="minorHAnsi"/>
          <w:sz w:val="24"/>
          <w:szCs w:val="24"/>
        </w:rPr>
        <w:t>8.676,00) zł. - na kwotę składa się: dotacja UE (255000,00), dotacja budżetu państwa (45000,00) i wkład własny JST (3</w:t>
      </w:r>
      <w:r w:rsidR="004D2EE9" w:rsidRPr="003E1DBE">
        <w:rPr>
          <w:rFonts w:cstheme="minorHAnsi"/>
          <w:sz w:val="24"/>
          <w:szCs w:val="24"/>
        </w:rPr>
        <w:t>0</w:t>
      </w:r>
      <w:r w:rsidRPr="003E1DBE">
        <w:rPr>
          <w:rFonts w:cstheme="minorHAnsi"/>
          <w:sz w:val="24"/>
          <w:szCs w:val="24"/>
        </w:rPr>
        <w:t>6</w:t>
      </w:r>
      <w:r w:rsidR="004D2EE9" w:rsidRPr="003E1DBE">
        <w:rPr>
          <w:rFonts w:cstheme="minorHAnsi"/>
          <w:sz w:val="24"/>
          <w:szCs w:val="24"/>
        </w:rPr>
        <w:t>.</w:t>
      </w:r>
      <w:r w:rsidRPr="003E1DBE">
        <w:rPr>
          <w:rFonts w:cstheme="minorHAnsi"/>
          <w:sz w:val="24"/>
          <w:szCs w:val="24"/>
        </w:rPr>
        <w:t>676,00) na projekt Budowa świetlicy wiejskiej w Parsowie; dotacja UE 206.842,86 zł i wkład własny do wydatków (500.157,14) do projektu Termomodernizacja, przebudowa i nadbudowa istniejącego budynku warsztatowego i gospodarczego Gminy Biesiekierz; wkład własny 300.000,00 (cały projekt, dotacja w późniejszym czasie) do projektu Kształtowanie przestrzeni publicznej; dotacja UE - 1.549.112,00 zł. i wkład własny (885.888,00) na projekt Budowa drogi wewnętrznej na działkach nr 152/23, 152/18, 156/3 (ul. Podgórna, cz. ul. Wspólnej), 200/5 (ul. Przyjaciół), 201/2, 201/10, 201/5, 208/13 (ul. Sąsiedzka) obręb Stare Bielice wraz z niezbędną infrastrukturą; wkład własny (dokumentacja budowlana – 20.000,00) do projektu Budowa centrum przesiadkowego.</w:t>
      </w:r>
    </w:p>
    <w:p w14:paraId="439D3A2E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12.4.1 - rok 2019 – (2.246.844,86) zł. - na kwotę składa się: dotacja UE (300.000,00) na projekt Budowa świetlicy wiejskiej w Parsowie; dotacja UE 206.843,00 zł. do projektu Termomodernizacja, przebudowa i nadbudowa istniejącego budynku warsztatowego i gospodarczego Gminy Biesiekierz; dotacja UE - 1.549.112,00 zł. na projekt Budowa drogi wewnętrznej na działkach nr 152/23, 152/18, 156/3 (ul. Podgórna, cz. ul. Wspólnej), 200/5 (ul. Przyjaciół), 201/2, 201/10, 201/5, 208/13 (ul. Sąsiedzka) obręb Stare Bielice wraz z niezbędną infrastrukturą</w:t>
      </w:r>
    </w:p>
    <w:p w14:paraId="01CDD593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12.4.2 - rok 2019 – (636.676,00) zł. - na kwotę składa się: dotacja UE (255000,00), dotacja budżetu państwa (45000,00) i wkład własny JST (336676,00) na projekt Budowa świetlicy wiejskiej w Parsowie;</w:t>
      </w:r>
    </w:p>
    <w:p w14:paraId="50871A3B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12.5 - rok 2019 - (1.9</w:t>
      </w:r>
      <w:r w:rsidR="004D2EE9" w:rsidRPr="003E1DBE">
        <w:rPr>
          <w:rFonts w:cstheme="minorHAnsi"/>
          <w:sz w:val="24"/>
          <w:szCs w:val="24"/>
        </w:rPr>
        <w:t>2</w:t>
      </w:r>
      <w:r w:rsidRPr="003E1DBE">
        <w:rPr>
          <w:rFonts w:cstheme="minorHAnsi"/>
          <w:sz w:val="24"/>
          <w:szCs w:val="24"/>
        </w:rPr>
        <w:t>8.313,03) - na kwotę składa się dotacja budżetu państwa (45000,00) i wkład własny JST (3</w:t>
      </w:r>
      <w:r w:rsidR="004D2EE9" w:rsidRPr="003E1DBE">
        <w:rPr>
          <w:rFonts w:cstheme="minorHAnsi"/>
          <w:sz w:val="24"/>
          <w:szCs w:val="24"/>
        </w:rPr>
        <w:t>0</w:t>
      </w:r>
      <w:r w:rsidRPr="003E1DBE">
        <w:rPr>
          <w:rFonts w:cstheme="minorHAnsi"/>
          <w:sz w:val="24"/>
          <w:szCs w:val="24"/>
        </w:rPr>
        <w:t>6</w:t>
      </w:r>
      <w:r w:rsidR="004D2EE9" w:rsidRPr="003E1DBE">
        <w:rPr>
          <w:rFonts w:cstheme="minorHAnsi"/>
          <w:sz w:val="24"/>
          <w:szCs w:val="24"/>
        </w:rPr>
        <w:t>.</w:t>
      </w:r>
      <w:r w:rsidRPr="003E1DBE">
        <w:rPr>
          <w:rFonts w:cstheme="minorHAnsi"/>
          <w:sz w:val="24"/>
          <w:szCs w:val="24"/>
        </w:rPr>
        <w:t>676,00) na projekt Budowa świetlicy wiejskiej w Parsowie; dotacja budżetu państwa (24900,00) do wydatków bieżących i wkład własny JST (21600,00) do wydatków bieżących na projekt na projekt Kompleksowe działania wspierające utworzenie i funkcjonowanie placówki wsparcia dziennego w Gminie Biesiekierz; wkład JST (29244,39) do wydatków bieżących na projekt Większa przestrzeń dla trzy- i czterolatków w Gminie Biesiekierz; wkład własny JST do projektu Termomodernizacja, przebudowa i nadbudowa istniejącego budynku warsztatowego i gospodarczego Gminy Biesiekierz (500.157,00) i projektu Inwentaryzacja przyrodnicza gminy Biesiekierz (50.737,50)</w:t>
      </w:r>
      <w:bookmarkStart w:id="1" w:name="_Hlk523142065"/>
      <w:r w:rsidRPr="003E1DBE">
        <w:rPr>
          <w:rFonts w:cstheme="minorHAnsi"/>
          <w:sz w:val="24"/>
          <w:szCs w:val="24"/>
        </w:rPr>
        <w:t xml:space="preserve">; </w:t>
      </w:r>
      <w:bookmarkEnd w:id="1"/>
      <w:r w:rsidRPr="003E1DBE">
        <w:rPr>
          <w:rFonts w:cstheme="minorHAnsi"/>
          <w:sz w:val="24"/>
          <w:szCs w:val="24"/>
        </w:rPr>
        <w:t xml:space="preserve">wkład własny (885.888,00) na projekt Budowa drogi wewnętrznej na działkach nr 152/23, 152/18, 156/3 (ul. Podgórna, cz. ul. Wspólnej), 200/5 (ul. Przyjaciół), 201/2, 201/10, 201/5, 208/13 (ul. Sąsiedzka) obręb Stare Bielice wraz z niezbędną infrastrukturą; </w:t>
      </w:r>
    </w:p>
    <w:p w14:paraId="6A061B41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 xml:space="preserve">12.5.1 - rok 2019 - (412.420,39) - na kwotę składa się wkład własny JST (336676,00) na projekt Budowa świetlicy wiejskiej w Parsowie; dotacja budżetu państwa (24900,00) do wydatków bieżących i wkład własny JST (21600,00) do wydatków bieżących na projekt na projekt Kompleksowe działania wspierające utworzenie i funkcjonowanie placówki wsparcia dziennego w Gminie Biesiekierz; wkład JST (29244,39) do wydatków bieżących na projekt Większa przestrzeń dla trzy- i czterolatków w Gminie Biesiekierz; </w:t>
      </w:r>
    </w:p>
    <w:p w14:paraId="07508AF2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 xml:space="preserve">12.6 - rok 2019 - (1.532.527,03) - na kwotę składa się dotacja budżetu państwa (24900,00) do wydatków bieżących i wkład własny JST (21600,00) do wydatków bieżących na projekt na projekt Kompleksowe działania wspierające utworzenie i funkcjonowanie placówki </w:t>
      </w:r>
      <w:r w:rsidRPr="003E1DBE">
        <w:rPr>
          <w:rFonts w:cstheme="minorHAnsi"/>
          <w:sz w:val="24"/>
          <w:szCs w:val="24"/>
        </w:rPr>
        <w:lastRenderedPageBreak/>
        <w:t>wsparcia dziennego w Gminie Biesiekierz; wkład JST (29244,39) do wydatków bieżących na projekt Większa przestrzeń dla trzy- i czterolatków w Gminie Biesiekierz; wkład własny JST do projektu Termomodernizacja, przebudowa i nadbudowa istniejącego budynku warsztatowego i gospodarczego Gminy Biesiekierz (500.157,00) i projektu Inwentaryzacja przyrodnicza gminy Biesiekierz (50.737,50); wkład własny do projektu Budowa świetlicy wiejskiej i remizy OSP w Starych Bielicach (30.000,00); wkład własny (885.888,00) na projekt Budowa drogi wewnętrznej na działkach nr 152/23, 152/18, 156/3 (ul. Podgórna, cz. ul. Wspólnej), 200/5 (ul. Przyjaciół), 201/2, 201/10, 201/5, 208/13 (ul. Sąsiedzka) obręb Stare Bielice wraz z niezbędną infrastrukturą; wkład własny (dokumentacja budowlana – 20.000,00) do projektu Budowa centrum przesiadkowego.</w:t>
      </w:r>
    </w:p>
    <w:p w14:paraId="37EF22D5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 xml:space="preserve">12.6.1 - rok 2019 - (50.844,39) - na kwotę składa się wkład własny JST (29.244,39) do wydatków bieżących na projekt Większa przestrzeń dla trzy- i czterolatków w Gminie Biesiekierz, dotacja budżetu państwa (24900,00) do wydatków bieżących i wkład własny JST (21600,00) do wydatków bieżących na projekt na projekt Kompleksowe działania wspierające utworzenie i funkcjonowanie placówki wsparcia dziennego w Gminie Biesiekierz; </w:t>
      </w:r>
    </w:p>
    <w:p w14:paraId="6C1812B4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b) 2020 rok:</w:t>
      </w:r>
    </w:p>
    <w:p w14:paraId="72926E9C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 xml:space="preserve">12.1 - rok 2020 - (288.400,00) - na kwotę składa się dotacja UE (263500,00) oraz dotacja budżetu państwa (24900,00) na projekt Kompleksowe działania wspierające utworzenie i funkcjonowanie placówki wsparcia dziennego w Gminie Biesiekierz </w:t>
      </w:r>
    </w:p>
    <w:p w14:paraId="76AA542C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12.1.1 - rok 2020 – (263.500,00) - na kwotę składa się dotacja UE (263500,00) na projekt Kompleksowe działania wspierające utworzenie i funkcjonowanie placówki wsparcia dziennego w Gminie Biesiekierz</w:t>
      </w:r>
    </w:p>
    <w:p w14:paraId="7F6C25C6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12.1.1.1 - rok 2020 – (263.500,00) - na kwotę składa się dotacja UE (263500,00) na projekt Kompleksowe działania wspierające utworzenie i funkcjonowanie placówki wsparcia dziennego w Gminie Biesiekierz</w:t>
      </w:r>
    </w:p>
    <w:p w14:paraId="72F21EA1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12.2 - rok 2020 – (606.455,00) – na kwotę składa się dotacja UE projektu Kształtowanie przestrzeni publicznej (190.890,00) oraz dotacja UE na projekt Budowa centrum przesiadkowego (415.565,00)</w:t>
      </w:r>
    </w:p>
    <w:p w14:paraId="4D8DF083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12.2.1 - rok 2020 – (606.455,00) – na kwotę składa się dotacja UE projektu Kształtowanie przestrzeni publicznej (190.890,00) oraz dotacja UE na projekt Budowa centrum przesiadkowego (415.565,00)</w:t>
      </w:r>
    </w:p>
    <w:p w14:paraId="5950AC54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12.3 - rok 2020 – (310.000,00) - na kwotę składa się dotacja UE (263500,00), dotacja budżetu państwa (24900,00) oraz wkład własny JST (21600) na projekt Kompleksowe działania wspierające utworzenie i funkcjonowanie placówki wsparcia dziennego w Gminie Biesiekierz</w:t>
      </w:r>
    </w:p>
    <w:p w14:paraId="06EFEB16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12.3.1 - rok 2020 – (263.500,00) - na kwotę składa się dotacja UE (263500,00) na projekt Kompleksowe działania wspierające utworzenie i funkcjonowanie placówki wsparcia dziennego w Gminie Biesiekierz</w:t>
      </w:r>
    </w:p>
    <w:p w14:paraId="3D1A52EE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12.4 - rok 2020 – (488.900,00) - na kwotę składa się dotacja UE (415.565,00) oraz wkład własny (73.335,00) na projekt Budowa centrum przesiadkowego</w:t>
      </w:r>
    </w:p>
    <w:p w14:paraId="35EC472F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</w:p>
    <w:p w14:paraId="44739DEE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lastRenderedPageBreak/>
        <w:t>12.4.1 - rok 2020 – (415.565,00) - na kwotę składa się dotacja UE (415.565,00) na projekt Budowa centrum przesiadkowego</w:t>
      </w:r>
    </w:p>
    <w:p w14:paraId="227E94B8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12.5 - rok 2020 - (119.835,00) - na kwotę składa się dotacja budżetu państwa (24900,00) oraz wkład własny JST (21600) na projekt Kompleksowe działania wspierające utworzenie i funkcjonowanie placówki wsparcia dziennego w Gminie Biesiekierz oraz wkład własny (73.335,00) na projekt Budowa centrum przesiadkowego</w:t>
      </w:r>
    </w:p>
    <w:p w14:paraId="6D1C27D7" w14:textId="77777777" w:rsidR="00E452EC" w:rsidRPr="003E1DBE" w:rsidRDefault="00E452EC" w:rsidP="003E1DBE">
      <w:pPr>
        <w:spacing w:line="240" w:lineRule="auto"/>
        <w:jc w:val="both"/>
        <w:rPr>
          <w:rFonts w:cstheme="minorHAnsi"/>
          <w:sz w:val="24"/>
          <w:szCs w:val="24"/>
        </w:rPr>
      </w:pPr>
      <w:r w:rsidRPr="003E1DBE">
        <w:rPr>
          <w:rFonts w:cstheme="minorHAnsi"/>
          <w:sz w:val="24"/>
          <w:szCs w:val="24"/>
        </w:rPr>
        <w:t>12.6 - rok 2020 - (119.835,00) - na kwotę składa się dotacja budżetu państwa (24900,00) oraz wkład własny JST (21600) na projekt Kompleksowe działania wspierające utworzenie i funkcjonowanie placówki wsparcia dziennego w Gminie Biesiekierz oraz wkład własny (73.335,00) na projekt Budowa centrum przesiadkowego</w:t>
      </w:r>
    </w:p>
    <w:p w14:paraId="6C314A81" w14:textId="77777777" w:rsidR="00E452EC" w:rsidRPr="00731F3C" w:rsidRDefault="00E452EC" w:rsidP="00E452EC">
      <w:pPr>
        <w:autoSpaceDE w:val="0"/>
        <w:autoSpaceDN w:val="0"/>
        <w:adjustRightInd w:val="0"/>
        <w:spacing w:after="0"/>
        <w:jc w:val="both"/>
        <w:rPr>
          <w:rFonts w:ascii="Calibri Light" w:hAnsi="Calibri Light" w:cs="Calibri Light"/>
          <w:sz w:val="24"/>
          <w:szCs w:val="24"/>
        </w:rPr>
      </w:pPr>
    </w:p>
    <w:p w14:paraId="3A042A2E" w14:textId="77777777" w:rsidR="00F54539" w:rsidRPr="003E1DBE" w:rsidRDefault="00F54539" w:rsidP="003E1DBE">
      <w:pPr>
        <w:pStyle w:val="Akapitzlist"/>
        <w:numPr>
          <w:ilvl w:val="0"/>
          <w:numId w:val="19"/>
        </w:numPr>
        <w:tabs>
          <w:tab w:val="left" w:pos="284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eastAsia="pl-PL"/>
        </w:rPr>
      </w:pPr>
      <w:r w:rsidRPr="003E1DBE">
        <w:rPr>
          <w:rFonts w:eastAsia="Times New Roman" w:cstheme="minorHAnsi"/>
          <w:b/>
          <w:color w:val="000000"/>
          <w:sz w:val="24"/>
          <w:szCs w:val="24"/>
          <w:lang w:eastAsia="pl-PL"/>
        </w:rPr>
        <w:t>W załączniku nr 1 „Wieloletnia prognoza finansowa Gminy Biesiekierz” w wierszu 12.4 w 201</w:t>
      </w:r>
      <w:r w:rsidR="003E1DBE" w:rsidRPr="003E1DBE">
        <w:rPr>
          <w:rFonts w:eastAsia="Times New Roman" w:cstheme="minorHAnsi"/>
          <w:b/>
          <w:color w:val="000000"/>
          <w:sz w:val="24"/>
          <w:szCs w:val="24"/>
          <w:lang w:eastAsia="pl-PL"/>
        </w:rPr>
        <w:t>9</w:t>
      </w:r>
      <w:r w:rsidRPr="003E1DBE">
        <w:rPr>
          <w:rFonts w:eastAsia="Times New Roman" w:cstheme="minorHAnsi"/>
          <w:b/>
          <w:color w:val="000000"/>
          <w:sz w:val="24"/>
          <w:szCs w:val="24"/>
          <w:lang w:eastAsia="pl-PL"/>
        </w:rPr>
        <w:t xml:space="preserve"> r. </w:t>
      </w:r>
      <w:r w:rsidRPr="003E1DBE">
        <w:rPr>
          <w:rFonts w:eastAsia="Times New Roman" w:cstheme="minorHAnsi"/>
          <w:color w:val="000000"/>
          <w:sz w:val="24"/>
          <w:szCs w:val="24"/>
          <w:lang w:eastAsia="pl-PL"/>
        </w:rPr>
        <w:t xml:space="preserve">brak jest zgodności z budżetem. Różnica wynosi </w:t>
      </w:r>
      <w:r w:rsidR="003E1DBE">
        <w:rPr>
          <w:rFonts w:eastAsia="Times New Roman" w:cstheme="minorHAnsi"/>
          <w:color w:val="000000"/>
          <w:sz w:val="24"/>
          <w:szCs w:val="24"/>
          <w:lang w:eastAsia="pl-PL"/>
        </w:rPr>
        <w:t>50</w:t>
      </w:r>
      <w:r w:rsidRPr="003E1DBE">
        <w:rPr>
          <w:rFonts w:eastAsia="Times New Roman" w:cstheme="minorHAnsi"/>
          <w:color w:val="000000"/>
          <w:sz w:val="24"/>
          <w:szCs w:val="24"/>
          <w:lang w:eastAsia="pl-PL"/>
        </w:rPr>
        <w:t>.000,00 zł i wynika z klasyfikacji budżetowej wydatków inwestycyjnych na zadania:</w:t>
      </w:r>
    </w:p>
    <w:p w14:paraId="4CD2EF2B" w14:textId="77777777" w:rsidR="00F54539" w:rsidRPr="00F54539" w:rsidRDefault="00F54539" w:rsidP="00F54539">
      <w:pPr>
        <w:tabs>
          <w:tab w:val="left" w:pos="720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ascii="Times New Roman" w:eastAsia="Times New Roman" w:hAnsi="Times New Roman" w:cstheme="minorHAnsi"/>
          <w:b/>
          <w:color w:val="000000"/>
          <w:sz w:val="24"/>
          <w:szCs w:val="24"/>
          <w:lang w:eastAsia="pl-PL"/>
        </w:rPr>
      </w:pPr>
      <w:r w:rsidRPr="00F54539">
        <w:rPr>
          <w:rFonts w:eastAsia="Times New Roman" w:cstheme="minorHAnsi"/>
          <w:b/>
          <w:color w:val="000000"/>
          <w:sz w:val="24"/>
          <w:szCs w:val="24"/>
          <w:lang w:eastAsia="pl-PL"/>
        </w:rPr>
        <w:t xml:space="preserve">* </w:t>
      </w:r>
      <w:r w:rsidRPr="00F54539">
        <w:rPr>
          <w:rFonts w:eastAsia="Times New Roman" w:cstheme="minorHAnsi"/>
          <w:b/>
          <w:color w:val="000000"/>
          <w:sz w:val="24"/>
          <w:szCs w:val="24"/>
          <w:lang w:eastAsia="pl-PL"/>
        </w:rPr>
        <w:tab/>
        <w:t>„</w:t>
      </w:r>
      <w:r w:rsidR="003E1DBE">
        <w:rPr>
          <w:rFonts w:eastAsia="Times New Roman" w:cstheme="minorHAnsi"/>
          <w:b/>
          <w:color w:val="000000"/>
          <w:sz w:val="24"/>
          <w:szCs w:val="24"/>
          <w:lang w:eastAsia="pl-PL"/>
        </w:rPr>
        <w:t>Budowa świetlicy wiejskiej w Parsowie”</w:t>
      </w:r>
      <w:r w:rsidRPr="00F54539">
        <w:rPr>
          <w:rFonts w:ascii="Times New Roman" w:eastAsia="Times New Roman" w:hAnsi="Times New Roman" w:cstheme="minorHAnsi"/>
          <w:b/>
          <w:color w:val="000000"/>
          <w:sz w:val="24"/>
          <w:szCs w:val="24"/>
          <w:lang w:eastAsia="pl-PL"/>
        </w:rPr>
        <w:t xml:space="preserve"> – </w:t>
      </w:r>
      <w:r w:rsidRPr="00F54539">
        <w:rPr>
          <w:rFonts w:eastAsia="Times New Roman" w:cstheme="minorHAnsi"/>
          <w:b/>
          <w:color w:val="000000"/>
          <w:sz w:val="24"/>
          <w:szCs w:val="24"/>
          <w:lang w:eastAsia="pl-PL"/>
        </w:rPr>
        <w:t>30.000,00 zł,</w:t>
      </w:r>
    </w:p>
    <w:p w14:paraId="532E10E6" w14:textId="77777777" w:rsidR="00F54539" w:rsidRPr="00F54539" w:rsidRDefault="00F54539" w:rsidP="003E1DB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autoSpaceDE w:val="0"/>
        <w:autoSpaceDN w:val="0"/>
        <w:adjustRightInd w:val="0"/>
        <w:spacing w:after="0" w:line="240" w:lineRule="auto"/>
        <w:ind w:left="284" w:hanging="284"/>
        <w:jc w:val="both"/>
        <w:rPr>
          <w:rFonts w:eastAsia="Times New Roman" w:cstheme="minorHAnsi"/>
          <w:b/>
          <w:color w:val="000000"/>
          <w:sz w:val="24"/>
          <w:szCs w:val="24"/>
          <w:lang w:eastAsia="pl-PL"/>
        </w:rPr>
      </w:pPr>
      <w:r w:rsidRPr="00F54539">
        <w:rPr>
          <w:rFonts w:eastAsia="Times New Roman" w:cstheme="minorHAnsi"/>
          <w:b/>
          <w:color w:val="000000"/>
          <w:sz w:val="24"/>
          <w:szCs w:val="24"/>
          <w:lang w:eastAsia="pl-PL"/>
        </w:rPr>
        <w:t>*</w:t>
      </w:r>
      <w:r w:rsidRPr="00F54539">
        <w:rPr>
          <w:rFonts w:eastAsia="Times New Roman" w:cstheme="minorHAnsi"/>
          <w:b/>
          <w:color w:val="000000"/>
          <w:sz w:val="24"/>
          <w:szCs w:val="24"/>
          <w:lang w:eastAsia="pl-PL"/>
        </w:rPr>
        <w:tab/>
        <w:t>„</w:t>
      </w:r>
      <w:r w:rsidR="003E1DBE">
        <w:rPr>
          <w:rFonts w:eastAsia="Times New Roman" w:cstheme="minorHAnsi"/>
          <w:b/>
          <w:color w:val="000000"/>
          <w:sz w:val="24"/>
          <w:szCs w:val="24"/>
          <w:lang w:eastAsia="pl-PL"/>
        </w:rPr>
        <w:t>Budowa centrum przesiadkowego w Biesiekierzu” – 20.000,00 zł.</w:t>
      </w:r>
    </w:p>
    <w:p w14:paraId="294B1DF3" w14:textId="77777777" w:rsidR="00F54539" w:rsidRPr="00F54539" w:rsidRDefault="00F54539" w:rsidP="00F54539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eastAsia="pl-PL"/>
        </w:rPr>
      </w:pPr>
    </w:p>
    <w:p w14:paraId="41C8B750" w14:textId="77777777" w:rsidR="00523164" w:rsidRPr="003E1DBE" w:rsidRDefault="00F54539" w:rsidP="003E1DBE">
      <w:pPr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  <w:tab w:val="left" w:pos="9912"/>
        </w:tabs>
        <w:autoSpaceDE w:val="0"/>
        <w:autoSpaceDN w:val="0"/>
        <w:adjustRightInd w:val="0"/>
        <w:spacing w:after="0"/>
        <w:jc w:val="both"/>
        <w:rPr>
          <w:rFonts w:eastAsia="Times New Roman" w:cstheme="minorHAnsi"/>
          <w:color w:val="000000"/>
          <w:sz w:val="24"/>
          <w:szCs w:val="24"/>
          <w:lang w:eastAsia="pl-PL"/>
        </w:rPr>
      </w:pPr>
      <w:r w:rsidRPr="00F54539">
        <w:rPr>
          <w:rFonts w:eastAsia="Times New Roman" w:cstheme="minorHAnsi"/>
          <w:color w:val="000000"/>
          <w:sz w:val="24"/>
          <w:szCs w:val="24"/>
          <w:lang w:eastAsia="pl-PL"/>
        </w:rPr>
        <w:t>Ww. zadania są realizowane z udziałem środków unijnych oraz środków własnych Gminy, które zostały sklasyfikowane z czwartą cyfrą paragrafu klasyfikacji budżetowej „0”.</w:t>
      </w:r>
    </w:p>
    <w:sectPr w:rsidR="00523164" w:rsidRPr="003E1DBE" w:rsidSect="008B0D6E">
      <w:headerReference w:type="default" r:id="rId11"/>
      <w:footerReference w:type="default" r:id="rId12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31BBF03" w14:textId="77777777" w:rsidR="007B1843" w:rsidRDefault="007B1843" w:rsidP="00F60F07">
      <w:pPr>
        <w:spacing w:after="0" w:line="240" w:lineRule="auto"/>
      </w:pPr>
      <w:r>
        <w:separator/>
      </w:r>
    </w:p>
  </w:endnote>
  <w:endnote w:type="continuationSeparator" w:id="0">
    <w:p w14:paraId="27A5BD4A" w14:textId="77777777" w:rsidR="007B1843" w:rsidRDefault="007B1843" w:rsidP="00F60F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2E934C1" w14:textId="77777777" w:rsidR="00523164" w:rsidRPr="008B0D6E" w:rsidRDefault="00523164" w:rsidP="008B0D6E">
    <w:pPr>
      <w:tabs>
        <w:tab w:val="center" w:pos="4550"/>
        <w:tab w:val="left" w:pos="5818"/>
      </w:tabs>
      <w:ind w:right="260"/>
      <w:jc w:val="right"/>
      <w:rPr>
        <w:sz w:val="24"/>
        <w:szCs w:val="24"/>
      </w:rPr>
    </w:pPr>
    <w:r w:rsidRPr="008B0D6E">
      <w:rPr>
        <w:spacing w:val="60"/>
        <w:sz w:val="24"/>
        <w:szCs w:val="24"/>
      </w:rPr>
      <w:t>Strona</w:t>
    </w:r>
    <w:r w:rsidRPr="008B0D6E">
      <w:rPr>
        <w:sz w:val="24"/>
        <w:szCs w:val="24"/>
      </w:rPr>
      <w:t xml:space="preserve"> </w:t>
    </w:r>
    <w:r w:rsidRPr="008B0D6E">
      <w:rPr>
        <w:sz w:val="24"/>
        <w:szCs w:val="24"/>
      </w:rPr>
      <w:fldChar w:fldCharType="begin"/>
    </w:r>
    <w:r w:rsidRPr="008B0D6E">
      <w:rPr>
        <w:sz w:val="24"/>
        <w:szCs w:val="24"/>
      </w:rPr>
      <w:instrText>PAGE   \* MERGEFORMAT</w:instrText>
    </w:r>
    <w:r w:rsidRPr="008B0D6E">
      <w:rPr>
        <w:sz w:val="24"/>
        <w:szCs w:val="24"/>
      </w:rPr>
      <w:fldChar w:fldCharType="separate"/>
    </w:r>
    <w:r>
      <w:rPr>
        <w:noProof/>
        <w:sz w:val="24"/>
        <w:szCs w:val="24"/>
      </w:rPr>
      <w:t>9</w:t>
    </w:r>
    <w:r w:rsidRPr="008B0D6E">
      <w:rPr>
        <w:sz w:val="24"/>
        <w:szCs w:val="24"/>
      </w:rPr>
      <w:fldChar w:fldCharType="end"/>
    </w:r>
    <w:r w:rsidRPr="008B0D6E">
      <w:rPr>
        <w:sz w:val="24"/>
        <w:szCs w:val="24"/>
      </w:rPr>
      <w:t xml:space="preserve"> | </w:t>
    </w:r>
    <w:r w:rsidRPr="008B0D6E">
      <w:rPr>
        <w:sz w:val="24"/>
        <w:szCs w:val="24"/>
      </w:rPr>
      <w:fldChar w:fldCharType="begin"/>
    </w:r>
    <w:r w:rsidRPr="008B0D6E">
      <w:rPr>
        <w:sz w:val="24"/>
        <w:szCs w:val="24"/>
      </w:rPr>
      <w:instrText>NUMPAGES  \* Arabic  \* MERGEFORMAT</w:instrText>
    </w:r>
    <w:r w:rsidRPr="008B0D6E">
      <w:rPr>
        <w:sz w:val="24"/>
        <w:szCs w:val="24"/>
      </w:rPr>
      <w:fldChar w:fldCharType="separate"/>
    </w:r>
    <w:r>
      <w:rPr>
        <w:noProof/>
        <w:sz w:val="24"/>
        <w:szCs w:val="24"/>
      </w:rPr>
      <w:t>9</w:t>
    </w:r>
    <w:r w:rsidRPr="008B0D6E">
      <w:rPr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B11F7B3" w14:textId="77777777" w:rsidR="007B1843" w:rsidRDefault="007B1843" w:rsidP="00F60F07">
      <w:pPr>
        <w:spacing w:after="0" w:line="240" w:lineRule="auto"/>
      </w:pPr>
      <w:r>
        <w:separator/>
      </w:r>
    </w:p>
  </w:footnote>
  <w:footnote w:type="continuationSeparator" w:id="0">
    <w:p w14:paraId="0F5DDEDF" w14:textId="77777777" w:rsidR="007B1843" w:rsidRDefault="007B1843" w:rsidP="00F60F0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Fonts w:ascii="Calibri" w:eastAsia="Calibri" w:hAnsi="Calibri" w:cs="Calibri"/>
        <w:i/>
        <w:sz w:val="24"/>
        <w:szCs w:val="24"/>
      </w:rPr>
      <w:alias w:val="Tytuł"/>
      <w:id w:val="507637788"/>
      <w:placeholder>
        <w:docPart w:val="73A71E899EF14510BBD347DCF7909C16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EndPr/>
    <w:sdtContent>
      <w:p w14:paraId="630111E6" w14:textId="77777777" w:rsidR="00523164" w:rsidRDefault="00523164" w:rsidP="008B0D6E">
        <w:pPr>
          <w:pStyle w:val="Nagwek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F60F07">
          <w:rPr>
            <w:rFonts w:ascii="Calibri" w:eastAsia="Calibri" w:hAnsi="Calibri" w:cs="Calibri"/>
            <w:i/>
            <w:sz w:val="24"/>
            <w:szCs w:val="24"/>
          </w:rPr>
          <w:t>Wieloletnia prognoza finan</w:t>
        </w:r>
        <w:r>
          <w:rPr>
            <w:rFonts w:ascii="Calibri" w:eastAsia="Calibri" w:hAnsi="Calibri" w:cs="Calibri"/>
            <w:i/>
            <w:sz w:val="24"/>
            <w:szCs w:val="24"/>
          </w:rPr>
          <w:t>sowa Gminy Biesiekierz 2019-2028</w:t>
        </w:r>
      </w:p>
    </w:sdtContent>
  </w:sdt>
  <w:p w14:paraId="3B18842A" w14:textId="77777777" w:rsidR="00523164" w:rsidRDefault="00523164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E4489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4DB4849"/>
    <w:multiLevelType w:val="hybridMultilevel"/>
    <w:tmpl w:val="E88AAF02"/>
    <w:lvl w:ilvl="0" w:tplc="C7583080">
      <w:start w:val="1"/>
      <w:numFmt w:val="upperLetter"/>
      <w:lvlText w:val="%1)"/>
      <w:lvlJc w:val="left"/>
      <w:pPr>
        <w:ind w:left="4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40" w:hanging="360"/>
      </w:pPr>
    </w:lvl>
    <w:lvl w:ilvl="2" w:tplc="0415001B" w:tentative="1">
      <w:start w:val="1"/>
      <w:numFmt w:val="lowerRoman"/>
      <w:lvlText w:val="%3."/>
      <w:lvlJc w:val="right"/>
      <w:pPr>
        <w:ind w:left="1860" w:hanging="180"/>
      </w:pPr>
    </w:lvl>
    <w:lvl w:ilvl="3" w:tplc="0415000F" w:tentative="1">
      <w:start w:val="1"/>
      <w:numFmt w:val="decimal"/>
      <w:lvlText w:val="%4."/>
      <w:lvlJc w:val="left"/>
      <w:pPr>
        <w:ind w:left="2580" w:hanging="360"/>
      </w:pPr>
    </w:lvl>
    <w:lvl w:ilvl="4" w:tplc="04150019" w:tentative="1">
      <w:start w:val="1"/>
      <w:numFmt w:val="lowerLetter"/>
      <w:lvlText w:val="%5."/>
      <w:lvlJc w:val="left"/>
      <w:pPr>
        <w:ind w:left="3300" w:hanging="360"/>
      </w:pPr>
    </w:lvl>
    <w:lvl w:ilvl="5" w:tplc="0415001B" w:tentative="1">
      <w:start w:val="1"/>
      <w:numFmt w:val="lowerRoman"/>
      <w:lvlText w:val="%6."/>
      <w:lvlJc w:val="right"/>
      <w:pPr>
        <w:ind w:left="4020" w:hanging="180"/>
      </w:pPr>
    </w:lvl>
    <w:lvl w:ilvl="6" w:tplc="0415000F" w:tentative="1">
      <w:start w:val="1"/>
      <w:numFmt w:val="decimal"/>
      <w:lvlText w:val="%7."/>
      <w:lvlJc w:val="left"/>
      <w:pPr>
        <w:ind w:left="4740" w:hanging="360"/>
      </w:pPr>
    </w:lvl>
    <w:lvl w:ilvl="7" w:tplc="04150019" w:tentative="1">
      <w:start w:val="1"/>
      <w:numFmt w:val="lowerLetter"/>
      <w:lvlText w:val="%8."/>
      <w:lvlJc w:val="left"/>
      <w:pPr>
        <w:ind w:left="5460" w:hanging="360"/>
      </w:pPr>
    </w:lvl>
    <w:lvl w:ilvl="8" w:tplc="0415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" w15:restartNumberingAfterBreak="0">
    <w:nsid w:val="165C6AD6"/>
    <w:multiLevelType w:val="hybridMultilevel"/>
    <w:tmpl w:val="DECE3C62"/>
    <w:lvl w:ilvl="0" w:tplc="0E145FFA">
      <w:start w:val="3"/>
      <w:numFmt w:val="lowerLetter"/>
      <w:lvlText w:val="%1)"/>
      <w:lvlJc w:val="left"/>
      <w:pPr>
        <w:ind w:left="360" w:hanging="360"/>
      </w:pPr>
      <w:rPr>
        <w:rFonts w:hint="default"/>
        <w:b w:val="0"/>
        <w:u w:val="none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29D4633D"/>
    <w:multiLevelType w:val="hybridMultilevel"/>
    <w:tmpl w:val="CF4AD40C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5DE0CAF"/>
    <w:multiLevelType w:val="multilevel"/>
    <w:tmpl w:val="9C447D56"/>
    <w:lvl w:ilvl="0">
      <w:start w:val="1"/>
      <w:numFmt w:val="decimal"/>
      <w:pStyle w:val="Nagwek1"/>
      <w:lvlText w:val="%1"/>
      <w:lvlJc w:val="left"/>
      <w:pPr>
        <w:ind w:left="432" w:hanging="432"/>
      </w:pPr>
      <w:rPr>
        <w:rFonts w:asciiTheme="minorHAnsi" w:hAnsiTheme="minorHAnsi" w:cstheme="minorHAnsi" w:hint="default"/>
        <w:i w:val="0"/>
        <w:iCs w:val="0"/>
        <w:caps w:val="0"/>
        <w:smallCaps w:val="0"/>
        <w:strike w:val="0"/>
        <w:dstrike w:val="0"/>
        <w:noProof w:val="0"/>
        <w:vanish w:val="0"/>
        <w:color w:val="auto"/>
        <w:spacing w:val="0"/>
        <w:kern w:val="0"/>
        <w:position w:val="0"/>
        <w:sz w:val="24"/>
        <w:szCs w:val="24"/>
        <w:u w:val="none"/>
        <w:effect w:val="none"/>
        <w:vertAlign w:val="baseline"/>
        <w:em w:val="no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color w:val="auto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5" w15:restartNumberingAfterBreak="0">
    <w:nsid w:val="7FFD5B38"/>
    <w:multiLevelType w:val="hybridMultilevel"/>
    <w:tmpl w:val="3466A384"/>
    <w:lvl w:ilvl="0" w:tplc="88A0F6A6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4"/>
  </w:num>
  <w:num w:numId="2">
    <w:abstractNumId w:val="4"/>
  </w:num>
  <w:num w:numId="3">
    <w:abstractNumId w:val="4"/>
  </w:num>
  <w:num w:numId="4">
    <w:abstractNumId w:val="4"/>
  </w:num>
  <w:num w:numId="5">
    <w:abstractNumId w:val="4"/>
  </w:num>
  <w:num w:numId="6">
    <w:abstractNumId w:val="0"/>
  </w:num>
  <w:num w:numId="7">
    <w:abstractNumId w:val="4"/>
  </w:num>
  <w:num w:numId="8">
    <w:abstractNumId w:val="4"/>
  </w:num>
  <w:num w:numId="9">
    <w:abstractNumId w:val="4"/>
  </w:num>
  <w:num w:numId="10">
    <w:abstractNumId w:val="4"/>
  </w:num>
  <w:num w:numId="11">
    <w:abstractNumId w:val="4"/>
  </w:num>
  <w:num w:numId="12">
    <w:abstractNumId w:val="4"/>
  </w:num>
  <w:num w:numId="13">
    <w:abstractNumId w:val="4"/>
  </w:num>
  <w:num w:numId="14">
    <w:abstractNumId w:val="4"/>
  </w:num>
  <w:num w:numId="15">
    <w:abstractNumId w:val="1"/>
  </w:num>
  <w:num w:numId="16">
    <w:abstractNumId w:val="3"/>
  </w:num>
  <w:num w:numId="17">
    <w:abstractNumId w:val="4"/>
  </w:num>
  <w:num w:numId="18">
    <w:abstractNumId w:val="5"/>
  </w:num>
  <w:num w:numId="1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614"/>
    <w:rsid w:val="00056D41"/>
    <w:rsid w:val="000755A5"/>
    <w:rsid w:val="000D6B59"/>
    <w:rsid w:val="00155D6F"/>
    <w:rsid w:val="002063D5"/>
    <w:rsid w:val="00236BF5"/>
    <w:rsid w:val="00293889"/>
    <w:rsid w:val="003267C1"/>
    <w:rsid w:val="00362CB4"/>
    <w:rsid w:val="00377398"/>
    <w:rsid w:val="003B46EE"/>
    <w:rsid w:val="003B5699"/>
    <w:rsid w:val="003C4C87"/>
    <w:rsid w:val="003E1DBE"/>
    <w:rsid w:val="004050EB"/>
    <w:rsid w:val="004310C3"/>
    <w:rsid w:val="00454CBA"/>
    <w:rsid w:val="004C62B1"/>
    <w:rsid w:val="004D2EE9"/>
    <w:rsid w:val="0051473B"/>
    <w:rsid w:val="00523164"/>
    <w:rsid w:val="00566C5C"/>
    <w:rsid w:val="0059123F"/>
    <w:rsid w:val="005947CE"/>
    <w:rsid w:val="005C24C5"/>
    <w:rsid w:val="005E7477"/>
    <w:rsid w:val="006463D9"/>
    <w:rsid w:val="00681FED"/>
    <w:rsid w:val="006A74C3"/>
    <w:rsid w:val="006E6CC4"/>
    <w:rsid w:val="00713910"/>
    <w:rsid w:val="00717614"/>
    <w:rsid w:val="007B1843"/>
    <w:rsid w:val="007D575B"/>
    <w:rsid w:val="008245B3"/>
    <w:rsid w:val="00827821"/>
    <w:rsid w:val="00846F85"/>
    <w:rsid w:val="00894676"/>
    <w:rsid w:val="00896A49"/>
    <w:rsid w:val="008B0D6E"/>
    <w:rsid w:val="008E3209"/>
    <w:rsid w:val="00913A49"/>
    <w:rsid w:val="0092382F"/>
    <w:rsid w:val="00933151"/>
    <w:rsid w:val="00980D1A"/>
    <w:rsid w:val="0098257B"/>
    <w:rsid w:val="00985FD7"/>
    <w:rsid w:val="009F79AB"/>
    <w:rsid w:val="00A41C58"/>
    <w:rsid w:val="00A73000"/>
    <w:rsid w:val="00A76E67"/>
    <w:rsid w:val="00AC0716"/>
    <w:rsid w:val="00AC4AA4"/>
    <w:rsid w:val="00AC6C71"/>
    <w:rsid w:val="00AE15C6"/>
    <w:rsid w:val="00C10D91"/>
    <w:rsid w:val="00C34E30"/>
    <w:rsid w:val="00CB5B61"/>
    <w:rsid w:val="00CE212B"/>
    <w:rsid w:val="00D2196E"/>
    <w:rsid w:val="00D23FAD"/>
    <w:rsid w:val="00D66EC3"/>
    <w:rsid w:val="00D87CC4"/>
    <w:rsid w:val="00DD2946"/>
    <w:rsid w:val="00E452EC"/>
    <w:rsid w:val="00ED28BE"/>
    <w:rsid w:val="00EF1D88"/>
    <w:rsid w:val="00F0354B"/>
    <w:rsid w:val="00F146AD"/>
    <w:rsid w:val="00F46626"/>
    <w:rsid w:val="00F54539"/>
    <w:rsid w:val="00F60F07"/>
    <w:rsid w:val="00FB6DDE"/>
    <w:rsid w:val="00FD3866"/>
    <w:rsid w:val="00FF1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3A03C02"/>
  <w15:docId w15:val="{CBEA25E7-76EF-4349-9019-8CAB2C9136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566C5C"/>
  </w:style>
  <w:style w:type="paragraph" w:styleId="Nagwek1">
    <w:name w:val="heading 1"/>
    <w:basedOn w:val="Normalny"/>
    <w:next w:val="Normalny"/>
    <w:link w:val="Nagwek1Znak"/>
    <w:uiPriority w:val="9"/>
    <w:qFormat/>
    <w:rsid w:val="00717614"/>
    <w:pPr>
      <w:keepNext/>
      <w:keepLines/>
      <w:numPr>
        <w:numId w:val="1"/>
      </w:numPr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717614"/>
    <w:pPr>
      <w:keepNext/>
      <w:keepLines/>
      <w:numPr>
        <w:ilvl w:val="1"/>
        <w:numId w:val="1"/>
      </w:numPr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717614"/>
    <w:pPr>
      <w:keepNext/>
      <w:keepLines/>
      <w:numPr>
        <w:ilvl w:val="2"/>
        <w:numId w:val="1"/>
      </w:numPr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717614"/>
    <w:pPr>
      <w:keepNext/>
      <w:keepLines/>
      <w:numPr>
        <w:ilvl w:val="3"/>
        <w:numId w:val="1"/>
      </w:num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717614"/>
    <w:pPr>
      <w:keepNext/>
      <w:keepLines/>
      <w:numPr>
        <w:ilvl w:val="4"/>
        <w:numId w:val="1"/>
      </w:numPr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717614"/>
    <w:pPr>
      <w:keepNext/>
      <w:keepLines/>
      <w:numPr>
        <w:ilvl w:val="5"/>
        <w:numId w:val="1"/>
      </w:numPr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717614"/>
    <w:pPr>
      <w:keepNext/>
      <w:keepLines/>
      <w:numPr>
        <w:ilvl w:val="6"/>
        <w:numId w:val="1"/>
      </w:numPr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717614"/>
    <w:pPr>
      <w:keepNext/>
      <w:keepLines/>
      <w:numPr>
        <w:ilvl w:val="7"/>
        <w:numId w:val="1"/>
      </w:numPr>
      <w:spacing w:before="200" w:after="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717614"/>
    <w:pPr>
      <w:keepNext/>
      <w:keepLines/>
      <w:numPr>
        <w:ilvl w:val="8"/>
        <w:numId w:val="1"/>
      </w:numPr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17614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71761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717614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717614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717614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717614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717614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717614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717614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717614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Tytu">
    <w:name w:val="Title"/>
    <w:basedOn w:val="Normalny"/>
    <w:next w:val="Normalny"/>
    <w:link w:val="TytuZnak"/>
    <w:uiPriority w:val="10"/>
    <w:qFormat/>
    <w:rsid w:val="00717614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717614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717614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717614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F60F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F60F07"/>
  </w:style>
  <w:style w:type="paragraph" w:styleId="Stopka">
    <w:name w:val="footer"/>
    <w:basedOn w:val="Normalny"/>
    <w:link w:val="StopkaZnak"/>
    <w:uiPriority w:val="99"/>
    <w:unhideWhenUsed/>
    <w:rsid w:val="00F60F0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F60F07"/>
  </w:style>
  <w:style w:type="paragraph" w:styleId="Tekstdymka">
    <w:name w:val="Balloon Text"/>
    <w:basedOn w:val="Normalny"/>
    <w:link w:val="TekstdymkaZnak"/>
    <w:uiPriority w:val="99"/>
    <w:semiHidden/>
    <w:unhideWhenUsed/>
    <w:rsid w:val="00F60F0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0F07"/>
    <w:rPr>
      <w:rFonts w:ascii="Tahoma" w:hAnsi="Tahoma" w:cs="Tahoma"/>
      <w:sz w:val="16"/>
      <w:szCs w:val="16"/>
    </w:rPr>
  </w:style>
  <w:style w:type="paragraph" w:styleId="Legenda">
    <w:name w:val="caption"/>
    <w:basedOn w:val="Normalny"/>
    <w:next w:val="Normalny"/>
    <w:uiPriority w:val="35"/>
    <w:unhideWhenUsed/>
    <w:qFormat/>
    <w:rsid w:val="008E3209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Bezodstpw">
    <w:name w:val="No Spacing"/>
    <w:uiPriority w:val="1"/>
    <w:qFormat/>
    <w:rsid w:val="00D66EC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675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0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725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597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233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17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250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9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2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60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10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36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542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chart" Target="charts/chart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glossaryDocument" Target="glossary/document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9.7736886831798375E-2"/>
          <c:y val="2.8252405949256338E-2"/>
          <c:w val="0.85270905652922424"/>
          <c:h val="0.79521142021575975"/>
        </c:manualLayout>
      </c:layout>
      <c:lineChart>
        <c:grouping val="standard"/>
        <c:varyColors val="0"/>
        <c:ser>
          <c:idx val="0"/>
          <c:order val="0"/>
          <c:tx>
            <c:v>Wskaźnik planowanej łącznej kwoty spłaty zobowiązań</c:v>
          </c:tx>
          <c:spPr>
            <a:ln>
              <a:solidFill>
                <a:srgbClr val="FF0000"/>
              </a:solidFill>
            </a:ln>
          </c:spPr>
          <c:marker>
            <c:spPr>
              <a:noFill/>
              <a:ln>
                <a:solidFill>
                  <a:srgbClr val="FF0000"/>
                </a:solidFill>
              </a:ln>
            </c:spPr>
          </c:marker>
          <c:dLbls>
            <c:spPr>
              <a:noFill/>
              <a:ln>
                <a:noFill/>
              </a:ln>
              <a:effectLst/>
            </c:sp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Arkusz6!$C$5:$N$5</c:f>
              <c:numCache>
                <c:formatCode>0</c:formatCode>
                <c:ptCount val="10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2024</c:v>
                </c:pt>
                <c:pt idx="6">
                  <c:v>2025</c:v>
                </c:pt>
                <c:pt idx="7">
                  <c:v>2026</c:v>
                </c:pt>
                <c:pt idx="8">
                  <c:v>2027</c:v>
                </c:pt>
                <c:pt idx="9" formatCode="General">
                  <c:v>2028</c:v>
                </c:pt>
              </c:numCache>
            </c:numRef>
          </c:cat>
          <c:val>
            <c:numRef>
              <c:f>Arkusz6!$C$6:$N$6</c:f>
              <c:numCache>
                <c:formatCode>0.00%</c:formatCode>
                <c:ptCount val="10"/>
                <c:pt idx="0">
                  <c:v>2.9000000000000001E-2</c:v>
                </c:pt>
                <c:pt idx="1">
                  <c:v>2.75E-2</c:v>
                </c:pt>
                <c:pt idx="2">
                  <c:v>2.5999999999999999E-2</c:v>
                </c:pt>
                <c:pt idx="3">
                  <c:v>1.84E-2</c:v>
                </c:pt>
                <c:pt idx="4">
                  <c:v>1.6500000000000001E-2</c:v>
                </c:pt>
                <c:pt idx="5">
                  <c:v>1.7500000000000002E-2</c:v>
                </c:pt>
                <c:pt idx="6">
                  <c:v>1.6500000000000001E-2</c:v>
                </c:pt>
                <c:pt idx="7">
                  <c:v>1.5699999999999999E-2</c:v>
                </c:pt>
                <c:pt idx="8">
                  <c:v>1.4800000000000001E-2</c:v>
                </c:pt>
                <c:pt idx="9">
                  <c:v>1.4E-2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0-99B8-4F6D-A358-CE6DB1042EF4}"/>
            </c:ext>
          </c:extLst>
        </c:ser>
        <c:ser>
          <c:idx val="1"/>
          <c:order val="1"/>
          <c:tx>
            <c:v>Dopuszczalny wskaźnik spłaty zobowiązań (art.243 uofp) -plan</c:v>
          </c:tx>
          <c:spPr>
            <a:ln>
              <a:solidFill>
                <a:schemeClr val="tx2">
                  <a:lumMod val="60000"/>
                  <a:lumOff val="40000"/>
                </a:schemeClr>
              </a:solidFill>
            </a:ln>
          </c:spPr>
          <c:marker>
            <c:spPr>
              <a:ln>
                <a:solidFill>
                  <a:schemeClr val="tx2">
                    <a:lumMod val="60000"/>
                    <a:lumOff val="40000"/>
                  </a:schemeClr>
                </a:solidFill>
              </a:ln>
            </c:spPr>
          </c:marker>
          <c:dLbls>
            <c:spPr>
              <a:noFill/>
              <a:ln>
                <a:noFill/>
              </a:ln>
              <a:effectLst/>
            </c:spPr>
            <c:dLblPos val="b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numRef>
              <c:f>Arkusz6!$C$5:$N$5</c:f>
              <c:numCache>
                <c:formatCode>0</c:formatCode>
                <c:ptCount val="10"/>
                <c:pt idx="0">
                  <c:v>2019</c:v>
                </c:pt>
                <c:pt idx="1">
                  <c:v>2020</c:v>
                </c:pt>
                <c:pt idx="2">
                  <c:v>2021</c:v>
                </c:pt>
                <c:pt idx="3">
                  <c:v>2022</c:v>
                </c:pt>
                <c:pt idx="4">
                  <c:v>2023</c:v>
                </c:pt>
                <c:pt idx="5">
                  <c:v>2024</c:v>
                </c:pt>
                <c:pt idx="6">
                  <c:v>2025</c:v>
                </c:pt>
                <c:pt idx="7">
                  <c:v>2026</c:v>
                </c:pt>
                <c:pt idx="8">
                  <c:v>2027</c:v>
                </c:pt>
                <c:pt idx="9" formatCode="General">
                  <c:v>2028</c:v>
                </c:pt>
              </c:numCache>
            </c:numRef>
          </c:cat>
          <c:val>
            <c:numRef>
              <c:f>Arkusz6!$C$7:$N$7</c:f>
              <c:numCache>
                <c:formatCode>0.00%</c:formatCode>
                <c:ptCount val="10"/>
                <c:pt idx="0">
                  <c:v>0.16439999999999999</c:v>
                </c:pt>
                <c:pt idx="1">
                  <c:v>0.10680000000000001</c:v>
                </c:pt>
                <c:pt idx="2">
                  <c:v>5.6800000000000003E-2</c:v>
                </c:pt>
                <c:pt idx="3">
                  <c:v>7.17E-2</c:v>
                </c:pt>
                <c:pt idx="4">
                  <c:v>8.1799999999999998E-2</c:v>
                </c:pt>
                <c:pt idx="5">
                  <c:v>8.5999999999999993E-2</c:v>
                </c:pt>
                <c:pt idx="6">
                  <c:v>9.4500000000000001E-2</c:v>
                </c:pt>
                <c:pt idx="7">
                  <c:v>0.1011</c:v>
                </c:pt>
                <c:pt idx="8">
                  <c:v>0.1085</c:v>
                </c:pt>
                <c:pt idx="9">
                  <c:v>0.1119</c:v>
                </c:pt>
              </c:numCache>
            </c:numRef>
          </c:val>
          <c:smooth val="0"/>
          <c:extLst>
            <c:ext xmlns:c16="http://schemas.microsoft.com/office/drawing/2014/chart" uri="{C3380CC4-5D6E-409C-BE32-E72D297353CC}">
              <c16:uniqueId val="{00000001-99B8-4F6D-A358-CE6DB1042EF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168714624"/>
        <c:axId val="168716160"/>
        <c:extLst>
          <c:ext xmlns:c15="http://schemas.microsoft.com/office/drawing/2012/chart" uri="{02D57815-91ED-43cb-92C2-25804820EDAC}">
            <c15:filteredLineSeries>
              <c15:ser>
                <c:idx val="2"/>
                <c:order val="2"/>
                <c:tx>
                  <c:v>Dopuszczalny wskaźnik spłaty zobowiązań (art.243 uofp) - wykonanie</c:v>
                </c:tx>
                <c:dLbls>
                  <c:spPr>
                    <a:noFill/>
                    <a:ln>
                      <a:noFill/>
                    </a:ln>
                    <a:effectLst/>
                  </c:spPr>
                  <c:dLblPos val="b"/>
                  <c:showLegendKey val="0"/>
                  <c:showVal val="1"/>
                  <c:showCatName val="0"/>
                  <c:showSerName val="0"/>
                  <c:showPercent val="0"/>
                  <c:showBubbleSize val="0"/>
                  <c:showLeaderLines val="0"/>
                  <c:extLst>
                    <c:ext uri="{CE6537A1-D6FC-4f65-9D91-7224C49458BB}">
                      <c15:showLeaderLines val="0"/>
                    </c:ext>
                  </c:extLst>
                </c:dLbls>
                <c:cat>
                  <c:numRef>
                    <c:extLst>
                      <c:ext uri="{02D57815-91ED-43cb-92C2-25804820EDAC}">
                        <c15:formulaRef>
                          <c15:sqref>Arkusz6!$C$5:$N$5</c15:sqref>
                        </c15:formulaRef>
                      </c:ext>
                    </c:extLst>
                    <c:numCache>
                      <c:formatCode>0</c:formatCode>
                      <c:ptCount val="10"/>
                      <c:pt idx="0">
                        <c:v>2019</c:v>
                      </c:pt>
                      <c:pt idx="1">
                        <c:v>2020</c:v>
                      </c:pt>
                      <c:pt idx="2">
                        <c:v>2021</c:v>
                      </c:pt>
                      <c:pt idx="3">
                        <c:v>2022</c:v>
                      </c:pt>
                      <c:pt idx="4">
                        <c:v>2023</c:v>
                      </c:pt>
                      <c:pt idx="5">
                        <c:v>2024</c:v>
                      </c:pt>
                      <c:pt idx="6">
                        <c:v>2025</c:v>
                      </c:pt>
                      <c:pt idx="7">
                        <c:v>2026</c:v>
                      </c:pt>
                      <c:pt idx="8">
                        <c:v>2027</c:v>
                      </c:pt>
                      <c:pt idx="9" formatCode="General">
                        <c:v>2028</c:v>
                      </c:pt>
                    </c:numCache>
                  </c:numRef>
                </c:cat>
                <c:val>
                  <c:numRef>
                    <c:extLst>
                      <c:ext uri="{02D57815-91ED-43cb-92C2-25804820EDAC}">
                        <c15:formulaRef>
                          <c15:sqref>Arkusz6!$C$8:$N$8</c15:sqref>
                        </c15:formulaRef>
                      </c:ext>
                    </c:extLst>
                    <c:numCache>
                      <c:formatCode>0.00%</c:formatCode>
                      <c:ptCount val="10"/>
                      <c:pt idx="0">
                        <c:v>0.16300000000000001</c:v>
                      </c:pt>
                      <c:pt idx="1">
                        <c:v>0.10539999999999999</c:v>
                      </c:pt>
                      <c:pt idx="2">
                        <c:v>5.5500000000000001E-2</c:v>
                      </c:pt>
                      <c:pt idx="3">
                        <c:v>7.17E-2</c:v>
                      </c:pt>
                      <c:pt idx="4">
                        <c:v>8.1799999999999998E-2</c:v>
                      </c:pt>
                      <c:pt idx="5">
                        <c:v>8.5999999999999993E-2</c:v>
                      </c:pt>
                      <c:pt idx="6">
                        <c:v>9.4500000000000001E-2</c:v>
                      </c:pt>
                      <c:pt idx="7">
                        <c:v>0.1011</c:v>
                      </c:pt>
                      <c:pt idx="8">
                        <c:v>0.1085</c:v>
                      </c:pt>
                      <c:pt idx="9">
                        <c:v>0.1119</c:v>
                      </c:pt>
                    </c:numCache>
                  </c:numRef>
                </c:val>
                <c:smooth val="0"/>
                <c:extLst>
                  <c:ext xmlns:c16="http://schemas.microsoft.com/office/drawing/2014/chart" uri="{C3380CC4-5D6E-409C-BE32-E72D297353CC}">
                    <c16:uniqueId val="{00000002-99B8-4F6D-A358-CE6DB1042EF4}"/>
                  </c:ext>
                </c:extLst>
              </c15:ser>
            </c15:filteredLineSeries>
          </c:ext>
        </c:extLst>
      </c:lineChart>
      <c:catAx>
        <c:axId val="168714624"/>
        <c:scaling>
          <c:orientation val="minMax"/>
        </c:scaling>
        <c:delete val="0"/>
        <c:axPos val="b"/>
        <c:numFmt formatCode="0" sourceLinked="1"/>
        <c:majorTickMark val="out"/>
        <c:minorTickMark val="none"/>
        <c:tickLblPos val="nextTo"/>
        <c:crossAx val="168716160"/>
        <c:crosses val="autoZero"/>
        <c:auto val="1"/>
        <c:lblAlgn val="ctr"/>
        <c:lblOffset val="100"/>
        <c:tickLblSkip val="1"/>
        <c:noMultiLvlLbl val="0"/>
      </c:catAx>
      <c:valAx>
        <c:axId val="168716160"/>
        <c:scaling>
          <c:orientation val="minMax"/>
          <c:max val="0.17"/>
          <c:min val="0"/>
        </c:scaling>
        <c:delete val="0"/>
        <c:axPos val="l"/>
        <c:majorGridlines/>
        <c:numFmt formatCode="0.00%" sourceLinked="0"/>
        <c:majorTickMark val="out"/>
        <c:minorTickMark val="none"/>
        <c:tickLblPos val="nextTo"/>
        <c:crossAx val="168714624"/>
        <c:crosses val="autoZero"/>
        <c:crossBetween val="between"/>
        <c:minorUnit val="1.0000000000000004E-2"/>
      </c:valAx>
    </c:plotArea>
    <c:legend>
      <c:legendPos val="b"/>
      <c:layout>
        <c:manualLayout>
          <c:xMode val="edge"/>
          <c:yMode val="edge"/>
          <c:x val="0.11623088332596419"/>
          <c:y val="0.87483228925041689"/>
          <c:w val="0.76913122418837432"/>
          <c:h val="0.12516771074958316"/>
        </c:manualLayout>
      </c:layout>
      <c:overlay val="0"/>
      <c:txPr>
        <a:bodyPr/>
        <a:lstStyle/>
        <a:p>
          <a:pPr>
            <a:defRPr sz="1100"/>
          </a:pPr>
          <a:endParaRPr lang="pl-PL"/>
        </a:p>
      </c:txPr>
    </c:legend>
    <c:plotVisOnly val="1"/>
    <c:dispBlanksAs val="gap"/>
    <c:showDLblsOverMax val="0"/>
  </c:chart>
  <c:spPr>
    <a:solidFill>
      <a:schemeClr val="bg1">
        <a:lumMod val="95000"/>
      </a:schemeClr>
    </a:solidFill>
  </c:spPr>
  <c:externalData r:id="rId1">
    <c:autoUpdate val="0"/>
  </c:externalData>
</c:chartSpace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73A71E899EF14510BBD347DCF7909C16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18449DE1-D863-47F2-A5F1-73C5BBC657F8}"/>
      </w:docPartPr>
      <w:docPartBody>
        <w:p w:rsidR="00EE6F77" w:rsidRDefault="00944EA6" w:rsidP="00944EA6">
          <w:pPr>
            <w:pStyle w:val="73A71E899EF14510BBD347DCF7909C16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[Wpisz tytuł dokumentu]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93E02"/>
    <w:rsid w:val="003937DC"/>
    <w:rsid w:val="004A5D82"/>
    <w:rsid w:val="005B7C55"/>
    <w:rsid w:val="00693E02"/>
    <w:rsid w:val="0073606E"/>
    <w:rsid w:val="00944EA6"/>
    <w:rsid w:val="0096002F"/>
    <w:rsid w:val="00EE6F77"/>
    <w:rsid w:val="00F710C3"/>
    <w:rsid w:val="00FF2A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ED08CF7355C541DB95111399A1FBE264">
    <w:name w:val="ED08CF7355C541DB95111399A1FBE264"/>
    <w:rsid w:val="00693E02"/>
  </w:style>
  <w:style w:type="paragraph" w:customStyle="1" w:styleId="48DEF075DADE40F0898AE8F27BDC7434">
    <w:name w:val="48DEF075DADE40F0898AE8F27BDC7434"/>
    <w:rsid w:val="00693E02"/>
  </w:style>
  <w:style w:type="paragraph" w:customStyle="1" w:styleId="2D4A6EF22D4045F49326D688061AE9E0">
    <w:name w:val="2D4A6EF22D4045F49326D688061AE9E0"/>
    <w:rsid w:val="00693E02"/>
  </w:style>
  <w:style w:type="paragraph" w:customStyle="1" w:styleId="4B0BF0BACBA3456AA58BE6E47B45B42E">
    <w:name w:val="4B0BF0BACBA3456AA58BE6E47B45B42E"/>
    <w:rsid w:val="00693E02"/>
  </w:style>
  <w:style w:type="paragraph" w:customStyle="1" w:styleId="5BDCADE120A94791AEB29CF07F86EABB">
    <w:name w:val="5BDCADE120A94791AEB29CF07F86EABB"/>
    <w:rsid w:val="00693E02"/>
  </w:style>
  <w:style w:type="paragraph" w:customStyle="1" w:styleId="47213C31944F4945A063CC4DCEE2CCB8">
    <w:name w:val="47213C31944F4945A063CC4DCEE2CCB8"/>
    <w:rsid w:val="00693E02"/>
  </w:style>
  <w:style w:type="paragraph" w:customStyle="1" w:styleId="ADCDC914AEEF47C18C047A8A0AE85364">
    <w:name w:val="ADCDC914AEEF47C18C047A8A0AE85364"/>
    <w:rsid w:val="00944EA6"/>
    <w:pPr>
      <w:spacing w:after="160" w:line="259" w:lineRule="auto"/>
    </w:pPr>
  </w:style>
  <w:style w:type="paragraph" w:customStyle="1" w:styleId="73A71E899EF14510BBD347DCF7909C16">
    <w:name w:val="73A71E899EF14510BBD347DCF7909C16"/>
    <w:rsid w:val="00944EA6"/>
    <w:pPr>
      <w:spacing w:after="160" w:line="259" w:lineRule="auto"/>
    </w:p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97E61BF-89B8-466F-AC31-5A34FE3AE5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14</Pages>
  <Words>4752</Words>
  <Characters>28515</Characters>
  <Application>Microsoft Office Word</Application>
  <DocSecurity>0</DocSecurity>
  <Lines>237</Lines>
  <Paragraphs>66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Wieloletnia prognoza finansowa Gminy Biesiekierz 2019-2028</vt:lpstr>
    </vt:vector>
  </TitlesOfParts>
  <Company/>
  <LinksUpToDate>false</LinksUpToDate>
  <CharactersWithSpaces>33201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Wieloletnia prognoza finansowa Gminy Biesiekierz 2019-2028</dc:title>
  <dc:creator>Adminek</dc:creator>
  <cp:lastModifiedBy>Gabriela Wołujewicz</cp:lastModifiedBy>
  <cp:revision>2</cp:revision>
  <cp:lastPrinted>2018-11-14T09:07:00Z</cp:lastPrinted>
  <dcterms:created xsi:type="dcterms:W3CDTF">2018-12-07T09:22:00Z</dcterms:created>
  <dcterms:modified xsi:type="dcterms:W3CDTF">2018-12-07T09:22:00Z</dcterms:modified>
</cp:coreProperties>
</file>